
<file path=[Content_Types].xml><?xml version="1.0" encoding="utf-8"?>
<Types xmlns="http://schemas.openxmlformats.org/package/2006/content-types">
  <Default ContentType="image/png" Extension="png"/>
  <Default ContentType="application/vnd.openxmlformats-officedocument.wordprocessingml.document.mai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package.relationships+xml" PartName="/word/_rels/document.xml.rels"/>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docProps/core.xml" Type="http://schemas.openxmlformats.org/package/2006/relationships/metadata/core-properties"/>
<Relationship Id="rId2" Target="docProps/app.xml" Type="http://schemas.openxmlformats.org/officeDocument/2006/relationships/extended-properties"/>
<Relationship Id="rId3"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body>
    <w:p>
      <w:pPr>
        <w:pStyle w:val="标题 1"/>
        <w:spacing w:after="300" w:before="120"/>
        <w:jc w:val="center"/>
        <w:rPr/>
      </w:pPr>
      <w:r>
        <w:rPr>
          <w:b w:val="true"/>
          <w:color w:val="000000"/>
          <w:sz w:val="36"/>
        </w:rPr>
        <w:t>深圳证券交易所交易规则（</w:t>
      </w:r>
      <w:r>
        <w:rPr>
          <w:b w:val="true"/>
          <w:color w:val="000000"/>
          <w:sz w:val="36"/>
        </w:rPr>
        <w:t>2020</w:t>
      </w:r>
      <w:r>
        <w:rPr>
          <w:b w:val="true"/>
          <w:color w:val="000000"/>
          <w:sz w:val="36"/>
        </w:rPr>
        <w:t>年修订）</w:t>
      </w:r>
    </w:p>
    <w:p>
      <w:pPr>
        <w:spacing w:before="100" w:after="150"/>
        <w:jc w:val="center"/>
      </w:pPr>
      <w:r>
        <w:rPr>
          <w:rFonts w:ascii="宋体" w:hAnsi="宋体" w:cs="宋体" w:eastAsia="宋体"/>
          <w:sz w:val="22"/>
        </w:rPr>
        <w:t>现行有效丨2020年03月13日 颁布丨深证上〔2020〕171号</w:t>
      </w:r>
    </w:p>
    <w:p>
      <w:pPr>
        <w:pStyle w:val="TextBody"/>
        <w:ind w:firstLine="400"/>
        <w:rPr/>
      </w:pPr>
      <w:r>
        <w:rPr>
          <w:color w:val="000000"/>
          <w:sz w:val="24"/>
        </w:rPr>
        <w:t>各市场参与人：</w:t>
      </w:r>
    </w:p>
    <w:p>
      <w:pPr>
        <w:pStyle w:val="TextBody"/>
        <w:ind w:firstLine="400"/>
        <w:rPr/>
      </w:pPr>
      <w:r>
        <w:rPr>
          <w:color w:val="000000"/>
          <w:sz w:val="24"/>
        </w:rPr>
        <w:t>为贯彻落实新证券法，进一步完善基础交易制度，本所对《深圳证券交易所交易规则（</w:t>
      </w:r>
      <w:r>
        <w:rPr>
          <w:color w:val="000000"/>
          <w:sz w:val="24"/>
        </w:rPr>
        <w:t>2016</w:t>
      </w:r>
      <w:r>
        <w:rPr>
          <w:color w:val="000000"/>
          <w:sz w:val="24"/>
        </w:rPr>
        <w:t>年</w:t>
      </w:r>
      <w:r>
        <w:rPr>
          <w:color w:val="000000"/>
          <w:sz w:val="24"/>
        </w:rPr>
        <w:t>9</w:t>
      </w:r>
      <w:r>
        <w:rPr>
          <w:color w:val="000000"/>
          <w:sz w:val="24"/>
        </w:rPr>
        <w:t>月修订）》进行了修改，形成《深圳证券交易所交易规则（</w:t>
      </w:r>
      <w:r>
        <w:rPr>
          <w:color w:val="000000"/>
          <w:sz w:val="24"/>
        </w:rPr>
        <w:t>2020</w:t>
      </w:r>
      <w:r>
        <w:rPr>
          <w:color w:val="000000"/>
          <w:sz w:val="24"/>
        </w:rPr>
        <w:t>年修订）》。经中国证监会批准，现予以发布，自发布之日起施行。</w:t>
      </w:r>
    </w:p>
    <w:p>
      <w:pPr>
        <w:pStyle w:val="TextBody"/>
        <w:ind w:firstLine="400"/>
        <w:rPr/>
      </w:pPr>
      <w:r>
        <w:rPr>
          <w:color w:val="000000"/>
          <w:sz w:val="24"/>
        </w:rPr>
        <w:t>本所于</w:t>
      </w:r>
      <w:r>
        <w:rPr>
          <w:color w:val="000000"/>
          <w:sz w:val="24"/>
        </w:rPr>
        <w:t>2019</w:t>
      </w:r>
      <w:r>
        <w:rPr>
          <w:color w:val="000000"/>
          <w:sz w:val="24"/>
        </w:rPr>
        <w:t>年</w:t>
      </w:r>
      <w:r>
        <w:rPr>
          <w:color w:val="000000"/>
          <w:sz w:val="24"/>
        </w:rPr>
        <w:t>1</w:t>
      </w:r>
      <w:r>
        <w:rPr>
          <w:color w:val="000000"/>
          <w:sz w:val="24"/>
        </w:rPr>
        <w:t>月</w:t>
      </w:r>
      <w:r>
        <w:rPr>
          <w:color w:val="000000"/>
          <w:sz w:val="24"/>
        </w:rPr>
        <w:t>11</w:t>
      </w:r>
      <w:r>
        <w:rPr>
          <w:color w:val="000000"/>
          <w:sz w:val="24"/>
        </w:rPr>
        <w:t>日发布的《关于修订〈深圳证券交易所交易规则〉第</w:t>
      </w:r>
      <w:r>
        <w:rPr>
          <w:color w:val="000000"/>
          <w:sz w:val="24"/>
        </w:rPr>
        <w:t>3.1.4</w:t>
      </w:r>
      <w:r>
        <w:rPr>
          <w:color w:val="000000"/>
          <w:sz w:val="24"/>
        </w:rPr>
        <w:t>条的通知》（深证会〔</w:t>
      </w:r>
      <w:r>
        <w:rPr>
          <w:color w:val="000000"/>
          <w:sz w:val="24"/>
        </w:rPr>
        <w:t>2019</w:t>
      </w:r>
      <w:r>
        <w:rPr>
          <w:color w:val="000000"/>
          <w:sz w:val="24"/>
        </w:rPr>
        <w:t>〕</w:t>
      </w:r>
      <w:r>
        <w:rPr>
          <w:color w:val="000000"/>
          <w:sz w:val="24"/>
        </w:rPr>
        <w:t>23</w:t>
      </w:r>
      <w:r>
        <w:rPr>
          <w:color w:val="000000"/>
          <w:sz w:val="24"/>
        </w:rPr>
        <w:t>号）同时废止。</w:t>
      </w:r>
    </w:p>
    <w:p>
      <w:pPr>
        <w:pStyle w:val="TextBody"/>
        <w:ind w:firstLine="400"/>
        <w:rPr/>
      </w:pPr>
      <w:r>
        <w:rPr>
          <w:color w:val="000000"/>
          <w:sz w:val="24"/>
        </w:rPr>
        <w:t>特此通知</w:t>
      </w:r>
    </w:p>
    <w:p>
      <w:pPr>
        <w:pStyle w:val="TextBody"/>
        <w:ind w:firstLine="400"/>
        <w:jc w:val="right"/>
        <w:rPr/>
      </w:pPr>
      <w:r>
        <w:rPr>
          <w:color w:val="000000"/>
          <w:sz w:val="24"/>
        </w:rPr>
        <w:t>深圳证券交易所</w:t>
      </w:r>
      <w:r>
        <w:rPr>
          <w:color w:val="000000"/>
          <w:sz w:val="24"/>
        </w:rPr>
        <w:br/>
        <w:t>2020</w:t>
      </w:r>
      <w:r>
        <w:rPr>
          <w:color w:val="000000"/>
          <w:sz w:val="24"/>
        </w:rPr>
        <w:t>年</w:t>
      </w:r>
      <w:r>
        <w:rPr>
          <w:color w:val="000000"/>
          <w:sz w:val="24"/>
        </w:rPr>
        <w:t>3</w:t>
      </w:r>
      <w:r>
        <w:rPr>
          <w:color w:val="000000"/>
          <w:sz w:val="24"/>
        </w:rPr>
        <w:t>月</w:t>
      </w:r>
      <w:r>
        <w:rPr>
          <w:color w:val="000000"/>
          <w:sz w:val="24"/>
        </w:rPr>
        <w:t>13</w:t>
      </w:r>
      <w:r>
        <w:rPr>
          <w:color w:val="000000"/>
          <w:sz w:val="24"/>
        </w:rPr>
        <w:t>日</w:t>
      </w:r>
    </w:p>
    <w:p>
      <w:pPr>
        <w:pStyle w:val="TextBody"/>
        <w:ind w:firstLine="400"/>
        <w:rPr/>
      </w:pPr>
      <w:r>
        <w:rPr>
          <w:color w:val="000000"/>
          <w:sz w:val="24"/>
        </w:rPr>
        <w:t>（</w:t>
      </w:r>
      <w:r>
        <w:rPr>
          <w:color w:val="000000"/>
          <w:sz w:val="24"/>
        </w:rPr>
        <w:t>2001</w:t>
      </w:r>
      <w:r>
        <w:rPr>
          <w:color w:val="000000"/>
          <w:sz w:val="24"/>
        </w:rPr>
        <w:t>年</w:t>
      </w:r>
      <w:r>
        <w:rPr>
          <w:color w:val="000000"/>
          <w:sz w:val="24"/>
        </w:rPr>
        <w:t>11</w:t>
      </w:r>
      <w:r>
        <w:rPr>
          <w:color w:val="000000"/>
          <w:sz w:val="24"/>
        </w:rPr>
        <w:t>月</w:t>
      </w:r>
      <w:r>
        <w:rPr>
          <w:color w:val="000000"/>
          <w:sz w:val="24"/>
        </w:rPr>
        <w:t>30</w:t>
      </w:r>
      <w:r>
        <w:rPr>
          <w:color w:val="000000"/>
          <w:sz w:val="24"/>
        </w:rPr>
        <w:t>日实施；</w:t>
      </w:r>
      <w:r>
        <w:rPr>
          <w:color w:val="000000"/>
          <w:sz w:val="24"/>
        </w:rPr>
        <w:t xml:space="preserve">2006 </w:t>
      </w:r>
      <w:r>
        <w:rPr>
          <w:color w:val="000000"/>
          <w:sz w:val="24"/>
        </w:rPr>
        <w:t>年</w:t>
      </w:r>
      <w:r>
        <w:rPr>
          <w:color w:val="000000"/>
          <w:sz w:val="24"/>
        </w:rPr>
        <w:t>5</w:t>
      </w:r>
      <w:r>
        <w:rPr>
          <w:color w:val="000000"/>
          <w:sz w:val="24"/>
        </w:rPr>
        <w:t>月</w:t>
      </w:r>
      <w:r>
        <w:rPr>
          <w:color w:val="000000"/>
          <w:sz w:val="24"/>
        </w:rPr>
        <w:t>15</w:t>
      </w:r>
      <w:r>
        <w:rPr>
          <w:color w:val="000000"/>
          <w:sz w:val="24"/>
        </w:rPr>
        <w:t>日第一次修订；</w:t>
      </w:r>
      <w:r>
        <w:rPr>
          <w:color w:val="000000"/>
          <w:sz w:val="24"/>
        </w:rPr>
        <w:t>2011</w:t>
      </w:r>
      <w:r>
        <w:rPr>
          <w:color w:val="000000"/>
          <w:sz w:val="24"/>
        </w:rPr>
        <w:t>年</w:t>
      </w:r>
      <w:r>
        <w:rPr>
          <w:color w:val="000000"/>
          <w:sz w:val="24"/>
        </w:rPr>
        <w:t>1</w:t>
      </w:r>
      <w:r>
        <w:rPr>
          <w:color w:val="000000"/>
          <w:sz w:val="24"/>
        </w:rPr>
        <w:t>月</w:t>
      </w:r>
      <w:r>
        <w:rPr>
          <w:color w:val="000000"/>
          <w:sz w:val="24"/>
        </w:rPr>
        <w:t>17</w:t>
      </w:r>
      <w:r>
        <w:rPr>
          <w:color w:val="000000"/>
          <w:sz w:val="24"/>
        </w:rPr>
        <w:t>日第二次修订；</w:t>
      </w:r>
      <w:r>
        <w:rPr>
          <w:color w:val="000000"/>
          <w:sz w:val="24"/>
        </w:rPr>
        <w:t>2012</w:t>
      </w:r>
      <w:r>
        <w:rPr>
          <w:color w:val="000000"/>
          <w:sz w:val="24"/>
        </w:rPr>
        <w:t>年</w:t>
      </w:r>
      <w:r>
        <w:rPr>
          <w:color w:val="000000"/>
          <w:sz w:val="24"/>
        </w:rPr>
        <w:t>11</w:t>
      </w:r>
      <w:r>
        <w:rPr>
          <w:color w:val="000000"/>
          <w:sz w:val="24"/>
        </w:rPr>
        <w:t>月</w:t>
      </w:r>
      <w:r>
        <w:rPr>
          <w:color w:val="000000"/>
          <w:sz w:val="24"/>
        </w:rPr>
        <w:t>30</w:t>
      </w:r>
      <w:r>
        <w:rPr>
          <w:color w:val="000000"/>
          <w:sz w:val="24"/>
        </w:rPr>
        <w:t>日第三次修订；</w:t>
      </w:r>
      <w:r>
        <w:rPr>
          <w:color w:val="000000"/>
          <w:sz w:val="24"/>
        </w:rPr>
        <w:t>2013</w:t>
      </w:r>
      <w:r>
        <w:rPr>
          <w:color w:val="000000"/>
          <w:sz w:val="24"/>
        </w:rPr>
        <w:t>年</w:t>
      </w:r>
      <w:r>
        <w:rPr>
          <w:color w:val="000000"/>
          <w:sz w:val="24"/>
        </w:rPr>
        <w:t>7</w:t>
      </w:r>
      <w:r>
        <w:rPr>
          <w:color w:val="000000"/>
          <w:sz w:val="24"/>
        </w:rPr>
        <w:t>月</w:t>
      </w:r>
      <w:r>
        <w:rPr>
          <w:color w:val="000000"/>
          <w:sz w:val="24"/>
        </w:rPr>
        <w:t>29</w:t>
      </w:r>
      <w:r>
        <w:rPr>
          <w:color w:val="000000"/>
          <w:sz w:val="24"/>
        </w:rPr>
        <w:t>日第四次修订；根据</w:t>
      </w:r>
      <w:r>
        <w:rPr>
          <w:color w:val="000000"/>
          <w:sz w:val="24"/>
        </w:rPr>
        <w:t>2013</w:t>
      </w:r>
      <w:r>
        <w:rPr>
          <w:color w:val="000000"/>
          <w:sz w:val="24"/>
        </w:rPr>
        <w:t>年</w:t>
      </w:r>
      <w:r>
        <w:rPr>
          <w:color w:val="000000"/>
          <w:sz w:val="24"/>
        </w:rPr>
        <w:t>11</w:t>
      </w:r>
      <w:r>
        <w:rPr>
          <w:color w:val="000000"/>
          <w:sz w:val="24"/>
        </w:rPr>
        <w:t>月</w:t>
      </w:r>
      <w:r>
        <w:rPr>
          <w:color w:val="000000"/>
          <w:sz w:val="24"/>
        </w:rPr>
        <w:t>30</w:t>
      </w:r>
      <w:r>
        <w:rPr>
          <w:color w:val="000000"/>
          <w:sz w:val="24"/>
        </w:rPr>
        <w:t>日《关于修改〈深圳证券交易所交易规则（</w:t>
      </w:r>
      <w:r>
        <w:rPr>
          <w:color w:val="000000"/>
          <w:sz w:val="24"/>
        </w:rPr>
        <w:t xml:space="preserve">2013 </w:t>
      </w:r>
      <w:r>
        <w:rPr>
          <w:color w:val="000000"/>
          <w:sz w:val="24"/>
        </w:rPr>
        <w:t>年修订）〉 第</w:t>
      </w:r>
      <w:r>
        <w:rPr>
          <w:color w:val="000000"/>
          <w:sz w:val="24"/>
        </w:rPr>
        <w:t>3.1.4</w:t>
      </w:r>
      <w:r>
        <w:rPr>
          <w:color w:val="000000"/>
          <w:sz w:val="24"/>
        </w:rPr>
        <w:t>条的决定》修订；根据</w:t>
      </w:r>
      <w:r>
        <w:rPr>
          <w:color w:val="000000"/>
          <w:sz w:val="24"/>
        </w:rPr>
        <w:t>2015</w:t>
      </w:r>
      <w:r>
        <w:rPr>
          <w:color w:val="000000"/>
          <w:sz w:val="24"/>
        </w:rPr>
        <w:t>年</w:t>
      </w:r>
      <w:r>
        <w:rPr>
          <w:color w:val="000000"/>
          <w:sz w:val="24"/>
        </w:rPr>
        <w:t>1</w:t>
      </w:r>
      <w:r>
        <w:rPr>
          <w:color w:val="000000"/>
          <w:sz w:val="24"/>
        </w:rPr>
        <w:t>月</w:t>
      </w:r>
      <w:r>
        <w:rPr>
          <w:color w:val="000000"/>
          <w:sz w:val="24"/>
        </w:rPr>
        <w:t>9</w:t>
      </w:r>
      <w:r>
        <w:rPr>
          <w:color w:val="000000"/>
          <w:sz w:val="24"/>
        </w:rPr>
        <w:t>日《关于修改〈深圳证券交易所交易规则〉第</w:t>
      </w:r>
      <w:r>
        <w:rPr>
          <w:color w:val="000000"/>
          <w:sz w:val="24"/>
        </w:rPr>
        <w:t>3.1.4</w:t>
      </w:r>
      <w:r>
        <w:rPr>
          <w:color w:val="000000"/>
          <w:sz w:val="24"/>
        </w:rPr>
        <w:t>条的通知》修订；根据</w:t>
      </w:r>
      <w:r>
        <w:rPr>
          <w:color w:val="000000"/>
          <w:sz w:val="24"/>
        </w:rPr>
        <w:t>2015</w:t>
      </w:r>
      <w:r>
        <w:rPr>
          <w:color w:val="000000"/>
          <w:sz w:val="24"/>
        </w:rPr>
        <w:t>年</w:t>
      </w:r>
      <w:r>
        <w:rPr>
          <w:color w:val="000000"/>
          <w:sz w:val="24"/>
        </w:rPr>
        <w:t>12</w:t>
      </w:r>
      <w:r>
        <w:rPr>
          <w:color w:val="000000"/>
          <w:sz w:val="24"/>
        </w:rPr>
        <w:t>月</w:t>
      </w:r>
      <w:r>
        <w:rPr>
          <w:color w:val="000000"/>
          <w:sz w:val="24"/>
        </w:rPr>
        <w:t>4</w:t>
      </w:r>
      <w:r>
        <w:rPr>
          <w:color w:val="000000"/>
          <w:sz w:val="24"/>
        </w:rPr>
        <w:t>日《关于修订〈深圳证券交易所交易规则〉新增第四章第六节的通知》修订；根据</w:t>
      </w:r>
      <w:r>
        <w:rPr>
          <w:color w:val="000000"/>
          <w:sz w:val="24"/>
        </w:rPr>
        <w:t>2016</w:t>
      </w:r>
      <w:r>
        <w:rPr>
          <w:color w:val="000000"/>
          <w:sz w:val="24"/>
        </w:rPr>
        <w:t>年</w:t>
      </w:r>
      <w:r>
        <w:rPr>
          <w:color w:val="000000"/>
          <w:sz w:val="24"/>
        </w:rPr>
        <w:t>4</w:t>
      </w:r>
      <w:r>
        <w:rPr>
          <w:color w:val="000000"/>
          <w:sz w:val="24"/>
        </w:rPr>
        <w:t>月</w:t>
      </w:r>
      <w:r>
        <w:rPr>
          <w:color w:val="000000"/>
          <w:sz w:val="24"/>
        </w:rPr>
        <w:t>28</w:t>
      </w:r>
      <w:r>
        <w:rPr>
          <w:color w:val="000000"/>
          <w:sz w:val="24"/>
        </w:rPr>
        <w:t>日《关于修改〈深圳证券交易所交易规则〉的通知》修订；根据</w:t>
      </w:r>
      <w:r>
        <w:rPr>
          <w:color w:val="000000"/>
          <w:sz w:val="24"/>
        </w:rPr>
        <w:t>2016</w:t>
      </w:r>
      <w:r>
        <w:rPr>
          <w:color w:val="000000"/>
          <w:sz w:val="24"/>
        </w:rPr>
        <w:t>年</w:t>
      </w:r>
      <w:r>
        <w:rPr>
          <w:color w:val="000000"/>
          <w:sz w:val="24"/>
        </w:rPr>
        <w:t>9</w:t>
      </w:r>
      <w:r>
        <w:rPr>
          <w:color w:val="000000"/>
          <w:sz w:val="24"/>
        </w:rPr>
        <w:t>月</w:t>
      </w:r>
      <w:r>
        <w:rPr>
          <w:color w:val="000000"/>
          <w:sz w:val="24"/>
        </w:rPr>
        <w:t>30</w:t>
      </w:r>
      <w:r>
        <w:rPr>
          <w:color w:val="000000"/>
          <w:sz w:val="24"/>
        </w:rPr>
        <w:t>日《关于修改〈深圳证券交易所交易规则〉涉及交易参与人若干条款的通知》修订；根据</w:t>
      </w:r>
      <w:r>
        <w:rPr>
          <w:color w:val="000000"/>
          <w:sz w:val="24"/>
        </w:rPr>
        <w:t>2019</w:t>
      </w:r>
      <w:r>
        <w:rPr>
          <w:color w:val="000000"/>
          <w:sz w:val="24"/>
        </w:rPr>
        <w:t>年</w:t>
      </w:r>
      <w:r>
        <w:rPr>
          <w:color w:val="000000"/>
          <w:sz w:val="24"/>
        </w:rPr>
        <w:t>1</w:t>
      </w:r>
      <w:r>
        <w:rPr>
          <w:color w:val="000000"/>
          <w:sz w:val="24"/>
        </w:rPr>
        <w:t>月</w:t>
      </w:r>
      <w:r>
        <w:rPr>
          <w:color w:val="000000"/>
          <w:sz w:val="24"/>
        </w:rPr>
        <w:t>11</w:t>
      </w:r>
      <w:r>
        <w:rPr>
          <w:color w:val="000000"/>
          <w:sz w:val="24"/>
        </w:rPr>
        <w:t>日《关于修订〈深圳证券交易所交易规则〉第</w:t>
      </w:r>
      <w:r>
        <w:rPr>
          <w:color w:val="000000"/>
          <w:sz w:val="24"/>
        </w:rPr>
        <w:t>3.1.4</w:t>
      </w:r>
      <w:r>
        <w:rPr>
          <w:color w:val="000000"/>
          <w:sz w:val="24"/>
        </w:rPr>
        <w:t>条的通知》修订》；根据</w:t>
      </w:r>
      <w:r>
        <w:rPr>
          <w:color w:val="000000"/>
          <w:sz w:val="24"/>
        </w:rPr>
        <w:t>2020</w:t>
      </w:r>
      <w:r>
        <w:rPr>
          <w:color w:val="000000"/>
          <w:sz w:val="24"/>
        </w:rPr>
        <w:t>年</w:t>
      </w:r>
      <w:r>
        <w:rPr>
          <w:color w:val="000000"/>
          <w:sz w:val="24"/>
        </w:rPr>
        <w:t>3</w:t>
      </w:r>
      <w:r>
        <w:rPr>
          <w:color w:val="000000"/>
          <w:sz w:val="24"/>
        </w:rPr>
        <w:t>月</w:t>
      </w:r>
      <w:r>
        <w:rPr>
          <w:color w:val="000000"/>
          <w:sz w:val="24"/>
        </w:rPr>
        <w:t>13</w:t>
      </w:r>
      <w:r>
        <w:rPr>
          <w:color w:val="000000"/>
          <w:sz w:val="24"/>
        </w:rPr>
        <w:t>日《关于发布〈深圳证券交易所交易规则（</w:t>
      </w:r>
      <w:r>
        <w:rPr>
          <w:color w:val="000000"/>
          <w:sz w:val="24"/>
        </w:rPr>
        <w:t>2020</w:t>
      </w:r>
      <w:r>
        <w:rPr>
          <w:color w:val="000000"/>
          <w:sz w:val="24"/>
        </w:rPr>
        <w:t>年修订）〉的通知》修订）</w:t>
      </w:r>
    </w:p>
    <w:p>
      <w:pPr>
        <w:pStyle w:val="Heading1"/>
        <w:rPr/>
      </w:pPr>
      <w:r>
        <w:rPr>
          <w:color w:val="000000"/>
          <w:sz w:val="24"/>
        </w:rPr>
        <w:t>第一章 总则</w:t>
      </w:r>
    </w:p>
    <w:p>
      <w:pPr>
        <w:pStyle w:val="标题 3"/>
        <w:spacing w:before="100" w:after="100"/>
        <w:rPr/>
      </w:pPr>
      <w:r>
        <w:rPr>
          <w:b w:val="true"/>
          <w:color w:val="000000"/>
          <w:sz w:val="28"/>
        </w:rPr>
        <w:t>1.1</w:t>
      </w:r>
    </w:p>
    <w:p>
      <w:pPr>
        <w:pStyle w:val="TextBody"/>
        <w:ind w:firstLine="400"/>
        <w:rPr/>
      </w:pPr>
      <w:r>
        <w:rPr>
          <w:color w:val="000000"/>
          <w:sz w:val="24"/>
        </w:rPr>
        <w:t>为规范证券市场交易行为，维护证券市场秩序，保护投资者合法权益，根据《中华人民共和国证券法》、《证券交易所管理办法》等法律、行政法规、部门规章、规范性文件以及《深圳证券交易所章程》，制定本规则。</w:t>
      </w:r>
    </w:p>
    <w:p>
      <w:pPr>
        <w:pStyle w:val="标题 3"/>
        <w:spacing w:before="100" w:after="100"/>
        <w:rPr/>
      </w:pPr>
      <w:r>
        <w:rPr>
          <w:b w:val="true"/>
          <w:color w:val="000000"/>
          <w:sz w:val="28"/>
        </w:rPr>
        <w:t>1.2</w:t>
      </w:r>
    </w:p>
    <w:p>
      <w:pPr>
        <w:pStyle w:val="TextBody"/>
        <w:ind w:firstLine="400"/>
        <w:rPr/>
      </w:pPr>
      <w:r>
        <w:rPr>
          <w:color w:val="000000"/>
          <w:sz w:val="24"/>
        </w:rPr>
        <w:t>深圳证券交易所（以下简称“本所”）上市证券及其衍生品种（以下统称“证券”）的交易，适用本规则。</w:t>
      </w:r>
    </w:p>
    <w:p>
      <w:pPr>
        <w:pStyle w:val="TextBody"/>
        <w:ind w:firstLine="400"/>
        <w:rPr/>
      </w:pPr>
      <w:r>
        <w:rPr>
          <w:color w:val="000000"/>
          <w:sz w:val="24"/>
        </w:rPr>
        <w:t>本规则未作规定的，适用本所其他有关规定。</w:t>
      </w:r>
    </w:p>
    <w:p>
      <w:pPr>
        <w:pStyle w:val="标题 3"/>
        <w:spacing w:before="100" w:after="100"/>
        <w:rPr/>
      </w:pPr>
      <w:r>
        <w:rPr>
          <w:b w:val="true"/>
          <w:color w:val="000000"/>
          <w:sz w:val="28"/>
        </w:rPr>
        <w:t>1.3</w:t>
      </w:r>
    </w:p>
    <w:p>
      <w:pPr>
        <w:pStyle w:val="TextBody"/>
        <w:ind w:firstLine="400"/>
        <w:rPr/>
      </w:pPr>
      <w:r>
        <w:rPr>
          <w:color w:val="000000"/>
          <w:sz w:val="24"/>
        </w:rPr>
        <w:t>证券交易遵循公开、公平、公正的原则。</w:t>
      </w:r>
    </w:p>
    <w:p>
      <w:pPr>
        <w:pStyle w:val="标题 3"/>
        <w:spacing w:before="100" w:after="100"/>
        <w:rPr/>
      </w:pPr>
      <w:r>
        <w:rPr>
          <w:b w:val="true"/>
          <w:color w:val="000000"/>
          <w:sz w:val="28"/>
        </w:rPr>
        <w:t>1.4</w:t>
      </w:r>
    </w:p>
    <w:p>
      <w:pPr>
        <w:pStyle w:val="TextBody"/>
        <w:ind w:firstLine="400"/>
        <w:rPr/>
      </w:pPr>
      <w:r>
        <w:rPr>
          <w:color w:val="000000"/>
          <w:sz w:val="24"/>
        </w:rPr>
        <w:t>投资者交易行为应当遵守法律、行政法规、部门规章、规范性文件以及本所有关业务规则，遵循自愿、有偿、诚实信用原则。</w:t>
      </w:r>
    </w:p>
    <w:p>
      <w:pPr>
        <w:pStyle w:val="标题 3"/>
        <w:spacing w:before="100" w:after="100"/>
        <w:rPr/>
      </w:pPr>
      <w:r>
        <w:rPr>
          <w:b w:val="true"/>
          <w:color w:val="000000"/>
          <w:sz w:val="28"/>
        </w:rPr>
        <w:t>1.5</w:t>
      </w:r>
    </w:p>
    <w:p>
      <w:pPr>
        <w:pStyle w:val="TextBody"/>
        <w:ind w:firstLine="400"/>
        <w:rPr/>
      </w:pPr>
      <w:r>
        <w:rPr>
          <w:color w:val="000000"/>
          <w:sz w:val="24"/>
        </w:rPr>
        <w:t>证券交易采用无纸化的集中交易或经中国证券监督管理委员会（以下简称“证监会”）批准的其他方式。</w:t>
      </w:r>
    </w:p>
    <w:p>
      <w:pPr>
        <w:pStyle w:val="Heading1"/>
        <w:rPr/>
      </w:pPr>
      <w:r>
        <w:rPr>
          <w:color w:val="000000"/>
          <w:sz w:val="24"/>
        </w:rPr>
        <w:t>第二章 交易市场</w:t>
      </w:r>
    </w:p>
    <w:p>
      <w:pPr>
        <w:pStyle w:val="标题 4"/>
        <w:spacing w:before="100" w:after="100"/>
        <w:rPr/>
      </w:pPr>
      <w:r>
        <w:rPr>
          <w:b w:val="true"/>
          <w:color w:val="000000"/>
          <w:sz w:val="24"/>
        </w:rPr>
        <w:t>第一节 交易场所</w:t>
      </w:r>
    </w:p>
    <w:p>
      <w:pPr>
        <w:pStyle w:val="标题 3"/>
        <w:spacing w:before="100" w:after="100"/>
        <w:rPr/>
      </w:pPr>
      <w:r>
        <w:rPr>
          <w:b w:val="true"/>
          <w:color w:val="000000"/>
          <w:sz w:val="28"/>
        </w:rPr>
        <w:t>2.1.1</w:t>
      </w:r>
    </w:p>
    <w:p>
      <w:pPr>
        <w:pStyle w:val="TextBody"/>
        <w:ind w:firstLine="400"/>
        <w:rPr/>
      </w:pPr>
      <w:r>
        <w:rPr>
          <w:color w:val="000000"/>
          <w:sz w:val="24"/>
        </w:rPr>
        <w:t>本所为证券交易提供交易场所及设施。交易场所及设施由交易主机、交易大厅、交易单元、报盘系统及相关的通信系统等组成。</w:t>
      </w:r>
    </w:p>
    <w:p>
      <w:pPr>
        <w:pStyle w:val="标题 4"/>
        <w:spacing w:before="100" w:after="100"/>
        <w:rPr/>
      </w:pPr>
      <w:r>
        <w:rPr>
          <w:b w:val="true"/>
          <w:color w:val="000000"/>
          <w:sz w:val="24"/>
        </w:rPr>
        <w:t>第二节 交易参与人</w:t>
      </w:r>
    </w:p>
    <w:p>
      <w:pPr>
        <w:pStyle w:val="标题 3"/>
        <w:spacing w:before="100" w:after="100"/>
        <w:rPr/>
      </w:pPr>
      <w:r>
        <w:rPr>
          <w:b w:val="true"/>
          <w:color w:val="000000"/>
          <w:sz w:val="28"/>
        </w:rPr>
        <w:t>2.2.1</w:t>
      </w:r>
    </w:p>
    <w:p>
      <w:pPr>
        <w:pStyle w:val="TextBody"/>
        <w:ind w:firstLine="400"/>
        <w:rPr/>
      </w:pPr>
      <w:r>
        <w:rPr>
          <w:color w:val="000000"/>
          <w:sz w:val="24"/>
        </w:rPr>
        <w:t>会员及本所认可的机构进入本所市场进行证券交易，应当向本所申请取得交易权限，成为本所交易参与人。</w:t>
      </w:r>
    </w:p>
    <w:p>
      <w:pPr>
        <w:pStyle w:val="TextBody"/>
        <w:ind w:firstLine="400"/>
        <w:rPr/>
      </w:pPr>
      <w:r>
        <w:rPr>
          <w:color w:val="000000"/>
          <w:sz w:val="24"/>
        </w:rPr>
        <w:t>交易参与人应当通过在本所申请开设的交易单元进行证券交易，并遵守本规则以及本所其他业务规则关于证券交易业务的相关规定。</w:t>
      </w:r>
    </w:p>
    <w:p>
      <w:pPr>
        <w:pStyle w:val="标题 3"/>
        <w:spacing w:before="100" w:after="100"/>
        <w:rPr/>
      </w:pPr>
      <w:r>
        <w:rPr>
          <w:b w:val="true"/>
          <w:color w:val="000000"/>
          <w:sz w:val="28"/>
        </w:rPr>
        <w:t>2.2.2</w:t>
      </w:r>
    </w:p>
    <w:p>
      <w:pPr>
        <w:pStyle w:val="TextBody"/>
        <w:ind w:firstLine="400"/>
        <w:rPr/>
      </w:pPr>
      <w:r>
        <w:rPr>
          <w:color w:val="000000"/>
          <w:sz w:val="24"/>
        </w:rPr>
        <w:t>交易单元，是指交易参与人向本所申请设立的、参与本所证券交易与接受本所监管及服务的基本业务单位。</w:t>
      </w:r>
    </w:p>
    <w:p>
      <w:pPr>
        <w:pStyle w:val="标题 3"/>
        <w:spacing w:before="100" w:after="100"/>
        <w:rPr/>
      </w:pPr>
      <w:r>
        <w:rPr>
          <w:b w:val="true"/>
          <w:color w:val="000000"/>
          <w:sz w:val="28"/>
        </w:rPr>
        <w:t>2.2.3</w:t>
      </w:r>
    </w:p>
    <w:p>
      <w:pPr>
        <w:pStyle w:val="TextBody"/>
        <w:ind w:firstLine="400"/>
        <w:rPr/>
      </w:pPr>
      <w:r>
        <w:rPr>
          <w:color w:val="000000"/>
          <w:sz w:val="24"/>
        </w:rPr>
        <w:t>交易单元和交易权限的具体规定，由本所另行制定。</w:t>
      </w:r>
    </w:p>
    <w:p>
      <w:pPr>
        <w:pStyle w:val="标题 4"/>
        <w:spacing w:before="100" w:after="100"/>
        <w:rPr/>
      </w:pPr>
      <w:r>
        <w:rPr>
          <w:b w:val="true"/>
          <w:color w:val="000000"/>
          <w:sz w:val="24"/>
        </w:rPr>
        <w:t>第三节 交易品种</w:t>
      </w:r>
    </w:p>
    <w:p>
      <w:pPr>
        <w:pStyle w:val="标题 3"/>
        <w:spacing w:before="100" w:after="100"/>
        <w:rPr/>
      </w:pPr>
      <w:r>
        <w:rPr>
          <w:b w:val="true"/>
          <w:color w:val="000000"/>
          <w:sz w:val="28"/>
        </w:rPr>
        <w:t>2.3.1</w:t>
      </w:r>
    </w:p>
    <w:p>
      <w:pPr>
        <w:pStyle w:val="TextBody"/>
        <w:ind w:firstLine="400"/>
        <w:rPr/>
      </w:pPr>
      <w:r>
        <w:rPr>
          <w:color w:val="000000"/>
          <w:sz w:val="24"/>
        </w:rPr>
        <w:t>在本所市场上市交易的品种包括：</w:t>
      </w:r>
    </w:p>
    <w:p>
      <w:pPr>
        <w:pStyle w:val="TextBody"/>
        <w:ind w:firstLine="400"/>
        <w:rPr/>
      </w:pPr>
      <w:r>
        <w:rPr>
          <w:color w:val="000000"/>
          <w:sz w:val="24"/>
        </w:rPr>
        <w:t>（一）股票；</w:t>
      </w:r>
    </w:p>
    <w:p>
      <w:pPr>
        <w:pStyle w:val="TextBody"/>
        <w:ind w:firstLine="400"/>
        <w:rPr/>
      </w:pPr>
      <w:r>
        <w:rPr>
          <w:color w:val="000000"/>
          <w:sz w:val="24"/>
        </w:rPr>
        <w:t>（二）基金；</w:t>
      </w:r>
    </w:p>
    <w:p>
      <w:pPr>
        <w:pStyle w:val="TextBody"/>
        <w:ind w:firstLine="400"/>
        <w:rPr/>
      </w:pPr>
      <w:r>
        <w:rPr>
          <w:color w:val="000000"/>
          <w:sz w:val="24"/>
        </w:rPr>
        <w:t>（三）债券；</w:t>
      </w:r>
    </w:p>
    <w:p>
      <w:pPr>
        <w:pStyle w:val="TextBody"/>
        <w:ind w:firstLine="400"/>
        <w:rPr/>
      </w:pPr>
      <w:r>
        <w:rPr>
          <w:color w:val="000000"/>
          <w:sz w:val="24"/>
        </w:rPr>
        <w:t>（四）权证；</w:t>
      </w:r>
    </w:p>
    <w:p>
      <w:pPr>
        <w:pStyle w:val="TextBody"/>
        <w:ind w:firstLine="400"/>
        <w:rPr/>
      </w:pPr>
      <w:r>
        <w:rPr>
          <w:color w:val="000000"/>
          <w:sz w:val="24"/>
        </w:rPr>
        <w:t>（五）存托凭证；</w:t>
      </w:r>
    </w:p>
    <w:p>
      <w:pPr>
        <w:pStyle w:val="TextBody"/>
        <w:ind w:firstLine="400"/>
        <w:rPr/>
      </w:pPr>
      <w:r>
        <w:rPr>
          <w:color w:val="000000"/>
          <w:sz w:val="24"/>
        </w:rPr>
        <w:t>（六）经证监会批准的其他交易品种。</w:t>
      </w:r>
    </w:p>
    <w:p>
      <w:pPr>
        <w:pStyle w:val="标题 4"/>
        <w:spacing w:before="100" w:after="100"/>
        <w:rPr/>
      </w:pPr>
      <w:r>
        <w:rPr>
          <w:b w:val="true"/>
          <w:color w:val="000000"/>
          <w:sz w:val="24"/>
        </w:rPr>
        <w:t>第四节 交易时间</w:t>
      </w:r>
    </w:p>
    <w:p>
      <w:pPr>
        <w:pStyle w:val="标题 3"/>
        <w:spacing w:before="100" w:after="100"/>
        <w:rPr/>
      </w:pPr>
      <w:r>
        <w:rPr>
          <w:b w:val="true"/>
          <w:color w:val="000000"/>
          <w:sz w:val="28"/>
        </w:rPr>
        <w:t>2.4.1</w:t>
      </w:r>
    </w:p>
    <w:p>
      <w:pPr>
        <w:pStyle w:val="TextBody"/>
        <w:ind w:firstLine="400"/>
        <w:rPr/>
      </w:pPr>
      <w:r>
        <w:rPr>
          <w:color w:val="000000"/>
          <w:sz w:val="24"/>
        </w:rPr>
        <w:t>本所交易日为每周一至周五。</w:t>
      </w:r>
    </w:p>
    <w:p>
      <w:pPr>
        <w:pStyle w:val="TextBody"/>
        <w:ind w:firstLine="400"/>
        <w:rPr/>
      </w:pPr>
      <w:r>
        <w:rPr>
          <w:color w:val="000000"/>
          <w:sz w:val="24"/>
        </w:rPr>
        <w:t>国家法定假日和本所公告的休市日，本所市场休市。</w:t>
      </w:r>
    </w:p>
    <w:p>
      <w:pPr>
        <w:pStyle w:val="标题 3"/>
        <w:spacing w:before="100" w:after="100"/>
        <w:rPr/>
      </w:pPr>
      <w:r>
        <w:rPr>
          <w:b w:val="true"/>
          <w:color w:val="000000"/>
          <w:sz w:val="28"/>
        </w:rPr>
        <w:t>2.4.2</w:t>
      </w:r>
    </w:p>
    <w:p>
      <w:pPr>
        <w:pStyle w:val="TextBody"/>
        <w:ind w:firstLine="400"/>
        <w:rPr/>
      </w:pPr>
      <w:r>
        <w:rPr>
          <w:color w:val="000000"/>
          <w:sz w:val="24"/>
        </w:rPr>
        <w:t>证券采用竞价交易方式的，每个交易日的</w:t>
      </w:r>
      <w:r>
        <w:rPr>
          <w:color w:val="000000"/>
          <w:sz w:val="24"/>
        </w:rPr>
        <w:t>9:15</w:t>
      </w:r>
      <w:r>
        <w:rPr>
          <w:color w:val="000000"/>
          <w:sz w:val="24"/>
        </w:rPr>
        <w:t>至</w:t>
      </w:r>
      <w:r>
        <w:rPr>
          <w:color w:val="000000"/>
          <w:sz w:val="24"/>
        </w:rPr>
        <w:t>9:25</w:t>
      </w:r>
      <w:r>
        <w:rPr>
          <w:color w:val="000000"/>
          <w:sz w:val="24"/>
        </w:rPr>
        <w:t>为开盘集合竞价时间，</w:t>
      </w:r>
      <w:r>
        <w:rPr>
          <w:color w:val="000000"/>
          <w:sz w:val="24"/>
        </w:rPr>
        <w:t>9:30</w:t>
      </w:r>
      <w:r>
        <w:rPr>
          <w:color w:val="000000"/>
          <w:sz w:val="24"/>
        </w:rPr>
        <w:t>至</w:t>
      </w:r>
      <w:r>
        <w:rPr>
          <w:color w:val="000000"/>
          <w:sz w:val="24"/>
        </w:rPr>
        <w:t>11:30</w:t>
      </w:r>
      <w:r>
        <w:rPr>
          <w:color w:val="000000"/>
          <w:sz w:val="24"/>
        </w:rPr>
        <w:t>、</w:t>
      </w:r>
      <w:r>
        <w:rPr>
          <w:color w:val="000000"/>
          <w:sz w:val="24"/>
        </w:rPr>
        <w:t>13:00</w:t>
      </w:r>
      <w:r>
        <w:rPr>
          <w:color w:val="000000"/>
          <w:sz w:val="24"/>
        </w:rPr>
        <w:t>至</w:t>
      </w:r>
      <w:r>
        <w:rPr>
          <w:color w:val="000000"/>
          <w:sz w:val="24"/>
        </w:rPr>
        <w:t>14:57</w:t>
      </w:r>
      <w:r>
        <w:rPr>
          <w:color w:val="000000"/>
          <w:sz w:val="24"/>
        </w:rPr>
        <w:t>为连续竞价时间，</w:t>
      </w:r>
      <w:r>
        <w:rPr>
          <w:color w:val="000000"/>
          <w:sz w:val="24"/>
        </w:rPr>
        <w:t>14:57</w:t>
      </w:r>
      <w:r>
        <w:rPr>
          <w:color w:val="000000"/>
          <w:sz w:val="24"/>
        </w:rPr>
        <w:t>至</w:t>
      </w:r>
      <w:r>
        <w:rPr>
          <w:color w:val="000000"/>
          <w:sz w:val="24"/>
        </w:rPr>
        <w:t>15:00</w:t>
      </w:r>
      <w:r>
        <w:rPr>
          <w:color w:val="000000"/>
          <w:sz w:val="24"/>
        </w:rPr>
        <w:t>为收盘集合竞价时间。</w:t>
      </w:r>
    </w:p>
    <w:p>
      <w:pPr>
        <w:pStyle w:val="TextBody"/>
        <w:ind w:firstLine="400"/>
        <w:rPr/>
      </w:pPr>
      <w:r>
        <w:rPr>
          <w:color w:val="000000"/>
          <w:sz w:val="24"/>
        </w:rPr>
        <w:t>经证监会批准，本所可以调整交易时间。</w:t>
      </w:r>
    </w:p>
    <w:p>
      <w:pPr>
        <w:pStyle w:val="标题 3"/>
        <w:spacing w:before="100" w:after="100"/>
        <w:rPr/>
      </w:pPr>
      <w:r>
        <w:rPr>
          <w:b w:val="true"/>
          <w:color w:val="000000"/>
          <w:sz w:val="28"/>
        </w:rPr>
        <w:t>2.4.3</w:t>
      </w:r>
    </w:p>
    <w:p>
      <w:pPr>
        <w:pStyle w:val="TextBody"/>
        <w:ind w:firstLine="400"/>
        <w:rPr/>
      </w:pPr>
      <w:r>
        <w:rPr>
          <w:color w:val="000000"/>
          <w:sz w:val="24"/>
        </w:rPr>
        <w:t>交易时间内因故停市，交易时间不作顺延。</w:t>
      </w:r>
    </w:p>
    <w:p>
      <w:pPr>
        <w:pStyle w:val="Heading1"/>
        <w:rPr/>
      </w:pPr>
      <w:r>
        <w:rPr>
          <w:color w:val="000000"/>
          <w:sz w:val="24"/>
        </w:rPr>
        <w:t>第三章 证券买卖</w:t>
      </w:r>
    </w:p>
    <w:p>
      <w:pPr>
        <w:pStyle w:val="标题 4"/>
        <w:spacing w:before="100" w:after="100"/>
        <w:rPr/>
      </w:pPr>
      <w:r>
        <w:rPr>
          <w:b w:val="true"/>
          <w:color w:val="000000"/>
          <w:sz w:val="24"/>
        </w:rPr>
        <w:t>第一节 一般规定</w:t>
      </w:r>
    </w:p>
    <w:p>
      <w:pPr>
        <w:pStyle w:val="标题 3"/>
        <w:spacing w:before="100" w:after="100"/>
        <w:rPr/>
      </w:pPr>
      <w:r>
        <w:rPr>
          <w:b w:val="true"/>
          <w:color w:val="000000"/>
          <w:sz w:val="28"/>
        </w:rPr>
        <w:t>3.1.1</w:t>
      </w:r>
    </w:p>
    <w:p>
      <w:pPr>
        <w:pStyle w:val="TextBody"/>
        <w:ind w:firstLine="400"/>
        <w:rPr/>
      </w:pPr>
      <w:r>
        <w:rPr>
          <w:color w:val="000000"/>
          <w:sz w:val="24"/>
        </w:rPr>
        <w:t>会员接受投资者的买卖委托后，应当确认投资者具备相应证券或资金，并按照委托的内容向本所申报，承担相应的交易、交收责任。</w:t>
      </w:r>
    </w:p>
    <w:p>
      <w:pPr>
        <w:pStyle w:val="TextBody"/>
        <w:ind w:firstLine="400"/>
        <w:rPr/>
      </w:pPr>
      <w:r>
        <w:rPr>
          <w:color w:val="000000"/>
          <w:sz w:val="24"/>
        </w:rPr>
        <w:t>会员接受投资者买卖委托达成交易的，投资者应当向会员交付其委托会员卖出的证券或其委托会员买入证券的款项，会员应当向投资者交付卖出证券所得款项或买入的证券。</w:t>
      </w:r>
    </w:p>
    <w:p>
      <w:pPr>
        <w:pStyle w:val="标题 3"/>
        <w:spacing w:before="100" w:after="100"/>
        <w:rPr/>
      </w:pPr>
      <w:r>
        <w:rPr>
          <w:b w:val="true"/>
          <w:color w:val="000000"/>
          <w:sz w:val="28"/>
        </w:rPr>
        <w:t>3.1.2</w:t>
      </w:r>
    </w:p>
    <w:p>
      <w:pPr>
        <w:pStyle w:val="TextBody"/>
        <w:ind w:firstLine="400"/>
        <w:rPr/>
      </w:pPr>
      <w:r>
        <w:rPr>
          <w:color w:val="000000"/>
          <w:sz w:val="24"/>
        </w:rPr>
        <w:t>交易参与人通过报盘系统向本所交易主机发送买卖申报指令，并按本规则达成交易，交易记录由本所发送至交易参与人。</w:t>
      </w:r>
    </w:p>
    <w:p>
      <w:pPr>
        <w:pStyle w:val="标题 3"/>
        <w:spacing w:before="100" w:after="100"/>
        <w:rPr/>
      </w:pPr>
      <w:r>
        <w:rPr>
          <w:b w:val="true"/>
          <w:color w:val="000000"/>
          <w:sz w:val="28"/>
        </w:rPr>
        <w:t>3.1.3</w:t>
      </w:r>
    </w:p>
    <w:p>
      <w:pPr>
        <w:pStyle w:val="TextBody"/>
        <w:ind w:firstLine="400"/>
        <w:rPr/>
      </w:pPr>
      <w:r>
        <w:rPr>
          <w:color w:val="000000"/>
          <w:sz w:val="24"/>
        </w:rPr>
        <w:t>交易参与人应当按有关规定妥善保管委托和申报记录。</w:t>
      </w:r>
    </w:p>
    <w:p>
      <w:pPr>
        <w:pStyle w:val="标题 3"/>
        <w:spacing w:before="100" w:after="100"/>
        <w:rPr/>
      </w:pPr>
      <w:r>
        <w:rPr>
          <w:b w:val="true"/>
          <w:color w:val="000000"/>
          <w:sz w:val="28"/>
        </w:rPr>
        <w:t>3.1.4</w:t>
      </w:r>
    </w:p>
    <w:p>
      <w:pPr>
        <w:pStyle w:val="TextBody"/>
        <w:ind w:firstLine="400"/>
        <w:rPr/>
      </w:pPr>
      <w:r>
        <w:rPr>
          <w:color w:val="000000"/>
          <w:sz w:val="24"/>
        </w:rPr>
        <w:t>投资者买入的证券，在交收前不得卖出，但实行回转交易的除外。</w:t>
      </w:r>
    </w:p>
    <w:p>
      <w:pPr>
        <w:pStyle w:val="TextBody"/>
        <w:ind w:firstLine="400"/>
        <w:rPr/>
      </w:pPr>
      <w:r>
        <w:rPr>
          <w:color w:val="000000"/>
          <w:sz w:val="24"/>
        </w:rPr>
        <w:t>证券的回转交易，是指投资者买入的证券，经确认成交后，在交收完成前全部或部分卖出。</w:t>
      </w:r>
    </w:p>
    <w:p>
      <w:pPr>
        <w:pStyle w:val="标题 3"/>
        <w:spacing w:before="100" w:after="100"/>
        <w:rPr/>
      </w:pPr>
      <w:r>
        <w:rPr>
          <w:b w:val="true"/>
          <w:color w:val="000000"/>
          <w:sz w:val="28"/>
        </w:rPr>
        <w:t>3.1.5</w:t>
      </w:r>
    </w:p>
    <w:p>
      <w:pPr>
        <w:pStyle w:val="TextBody"/>
        <w:ind w:firstLine="400"/>
        <w:rPr/>
      </w:pPr>
      <w:r>
        <w:rPr>
          <w:color w:val="000000"/>
          <w:sz w:val="24"/>
        </w:rPr>
        <w:t>在本所上市交易的下列证券品种实行当日回转交易：</w:t>
      </w:r>
    </w:p>
    <w:p>
      <w:pPr>
        <w:pStyle w:val="TextBody"/>
        <w:ind w:firstLine="400"/>
        <w:rPr/>
      </w:pPr>
      <w:r>
        <w:rPr>
          <w:color w:val="000000"/>
          <w:sz w:val="24"/>
        </w:rPr>
        <w:t>（一）债券；</w:t>
      </w:r>
    </w:p>
    <w:p>
      <w:pPr>
        <w:pStyle w:val="TextBody"/>
        <w:ind w:firstLine="400"/>
        <w:rPr/>
      </w:pPr>
      <w:r>
        <w:rPr>
          <w:color w:val="000000"/>
          <w:sz w:val="24"/>
        </w:rPr>
        <w:t>（二）债券交易型开放式基金；</w:t>
      </w:r>
    </w:p>
    <w:p>
      <w:pPr>
        <w:pStyle w:val="TextBody"/>
        <w:ind w:firstLine="400"/>
        <w:rPr/>
      </w:pPr>
      <w:r>
        <w:rPr>
          <w:color w:val="000000"/>
          <w:sz w:val="24"/>
        </w:rPr>
        <w:t>（三）上市交易的货币市场基金；</w:t>
      </w:r>
    </w:p>
    <w:p>
      <w:pPr>
        <w:pStyle w:val="TextBody"/>
        <w:ind w:firstLine="400"/>
        <w:rPr/>
      </w:pPr>
      <w:r>
        <w:rPr>
          <w:color w:val="000000"/>
          <w:sz w:val="24"/>
        </w:rPr>
        <w:t>（四）黄金交易型开放式基金；</w:t>
      </w:r>
    </w:p>
    <w:p>
      <w:pPr>
        <w:pStyle w:val="TextBody"/>
        <w:ind w:firstLine="400"/>
        <w:rPr/>
      </w:pPr>
      <w:r>
        <w:rPr>
          <w:color w:val="000000"/>
          <w:sz w:val="24"/>
        </w:rPr>
        <w:t>（五）跨境交易型开放式基金和跨境上市开放式基金；</w:t>
      </w:r>
    </w:p>
    <w:p>
      <w:pPr>
        <w:pStyle w:val="TextBody"/>
        <w:ind w:firstLine="400"/>
        <w:rPr/>
      </w:pPr>
      <w:r>
        <w:rPr>
          <w:color w:val="000000"/>
          <w:sz w:val="24"/>
        </w:rPr>
        <w:t>（六）商品期货交易型开放式基金。</w:t>
      </w:r>
    </w:p>
    <w:p>
      <w:pPr>
        <w:pStyle w:val="TextBody"/>
        <w:ind w:firstLine="400"/>
        <w:rPr/>
      </w:pPr>
      <w:r>
        <w:rPr>
          <w:color w:val="000000"/>
          <w:sz w:val="24"/>
        </w:rPr>
        <w:t>前款所述的跨境交易型开放式基金和跨境上市开放式基金仅限于所跟踪指数成份证券或投资标的实施当日回转交易的开放式基金。</w:t>
      </w:r>
    </w:p>
    <w:p>
      <w:pPr>
        <w:pStyle w:val="TextBody"/>
        <w:ind w:firstLine="400"/>
        <w:rPr/>
      </w:pPr>
      <w:r>
        <w:rPr>
          <w:color w:val="000000"/>
          <w:sz w:val="24"/>
        </w:rPr>
        <w:t>B</w:t>
      </w:r>
      <w:r>
        <w:rPr>
          <w:color w:val="000000"/>
          <w:sz w:val="24"/>
        </w:rPr>
        <w:t>股实行次交易日起回转交易。经证监会批准，本所可以调整实行回转交易的证券品种和回转方式。</w:t>
      </w:r>
    </w:p>
    <w:p>
      <w:pPr>
        <w:pStyle w:val="标题 3"/>
        <w:spacing w:before="100" w:after="100"/>
        <w:rPr/>
      </w:pPr>
      <w:r>
        <w:rPr>
          <w:b w:val="true"/>
          <w:color w:val="000000"/>
          <w:sz w:val="28"/>
        </w:rPr>
        <w:t>3.1.6</w:t>
      </w:r>
    </w:p>
    <w:p>
      <w:pPr>
        <w:pStyle w:val="TextBody"/>
        <w:ind w:firstLine="400"/>
        <w:rPr/>
      </w:pPr>
      <w:r>
        <w:rPr>
          <w:color w:val="000000"/>
          <w:sz w:val="24"/>
        </w:rPr>
        <w:t>本所可以根据市场需要，实行主交易商制度，具体规定由本所另行制定，报证监会批准后生效。</w:t>
      </w:r>
    </w:p>
    <w:p>
      <w:pPr>
        <w:pStyle w:val="标题 4"/>
        <w:spacing w:before="100" w:after="100"/>
        <w:rPr/>
      </w:pPr>
      <w:r>
        <w:rPr>
          <w:b w:val="true"/>
          <w:color w:val="000000"/>
          <w:sz w:val="24"/>
        </w:rPr>
        <w:t>第二节 委托</w:t>
      </w:r>
    </w:p>
    <w:p>
      <w:pPr>
        <w:pStyle w:val="标题 3"/>
        <w:spacing w:before="100" w:after="100"/>
        <w:rPr/>
      </w:pPr>
      <w:r>
        <w:rPr>
          <w:b w:val="true"/>
          <w:color w:val="000000"/>
          <w:sz w:val="28"/>
        </w:rPr>
        <w:t>3.2.1</w:t>
      </w:r>
    </w:p>
    <w:p>
      <w:pPr>
        <w:pStyle w:val="TextBody"/>
        <w:ind w:firstLine="400"/>
        <w:rPr/>
      </w:pPr>
      <w:r>
        <w:rPr>
          <w:color w:val="000000"/>
          <w:sz w:val="24"/>
        </w:rPr>
        <w:t>投资者买卖证券，应当以实名方式开立证券账户和资金账户，并与会员签订证券交易委托协议。协议生效后，投资者为该会员经纪业务的客户。</w:t>
      </w:r>
    </w:p>
    <w:p>
      <w:pPr>
        <w:pStyle w:val="TextBody"/>
        <w:ind w:firstLine="400"/>
        <w:rPr/>
      </w:pPr>
      <w:r>
        <w:rPr>
          <w:color w:val="000000"/>
          <w:sz w:val="24"/>
        </w:rPr>
        <w:t>投资者开立证券账户，按本所指定登记结算机构的规定办理。</w:t>
      </w:r>
    </w:p>
    <w:p>
      <w:pPr>
        <w:pStyle w:val="标题 3"/>
        <w:spacing w:before="100" w:after="100"/>
        <w:rPr/>
      </w:pPr>
      <w:r>
        <w:rPr>
          <w:b w:val="true"/>
          <w:color w:val="000000"/>
          <w:sz w:val="28"/>
        </w:rPr>
        <w:t>3.2.2</w:t>
      </w:r>
    </w:p>
    <w:p>
      <w:pPr>
        <w:pStyle w:val="TextBody"/>
        <w:ind w:firstLine="400"/>
        <w:rPr/>
      </w:pPr>
      <w:r>
        <w:rPr>
          <w:color w:val="000000"/>
          <w:sz w:val="24"/>
        </w:rPr>
        <w:t>投资者可以通过书面或电话、自助终端、互联网等自助委托方式委托会员买卖证券。</w:t>
      </w:r>
    </w:p>
    <w:p>
      <w:pPr>
        <w:pStyle w:val="TextBody"/>
        <w:ind w:firstLine="400"/>
        <w:rPr/>
      </w:pPr>
      <w:r>
        <w:rPr>
          <w:color w:val="000000"/>
          <w:sz w:val="24"/>
        </w:rPr>
        <w:t>投资者通过自助委托方式参与证券买卖的，会员应当与其签订自助委托协议。</w:t>
      </w:r>
    </w:p>
    <w:p>
      <w:pPr>
        <w:pStyle w:val="标题 3"/>
        <w:spacing w:before="100" w:after="100"/>
        <w:rPr/>
      </w:pPr>
      <w:r>
        <w:rPr>
          <w:b w:val="true"/>
          <w:color w:val="000000"/>
          <w:sz w:val="28"/>
        </w:rPr>
        <w:t>3.2.3</w:t>
      </w:r>
    </w:p>
    <w:p>
      <w:pPr>
        <w:pStyle w:val="TextBody"/>
        <w:ind w:firstLine="400"/>
        <w:rPr/>
      </w:pPr>
      <w:r>
        <w:rPr>
          <w:color w:val="000000"/>
          <w:sz w:val="24"/>
        </w:rPr>
        <w:t>投资者通过电话、自助终端、互联网等方式进行自助委托的，应当按相关规定操作。</w:t>
      </w:r>
    </w:p>
    <w:p>
      <w:pPr>
        <w:pStyle w:val="TextBody"/>
        <w:ind w:firstLine="400"/>
        <w:rPr/>
      </w:pPr>
      <w:r>
        <w:rPr>
          <w:color w:val="000000"/>
          <w:sz w:val="24"/>
        </w:rPr>
        <w:t>会员应当记录投资者委托的电话号码、网卡地址、</w:t>
      </w:r>
      <w:r>
        <w:rPr>
          <w:color w:val="000000"/>
          <w:sz w:val="24"/>
        </w:rPr>
        <w:t>IP</w:t>
      </w:r>
      <w:r>
        <w:rPr>
          <w:color w:val="000000"/>
          <w:sz w:val="24"/>
        </w:rPr>
        <w:t>地址等信息。</w:t>
      </w:r>
    </w:p>
    <w:p>
      <w:pPr>
        <w:pStyle w:val="标题 3"/>
        <w:spacing w:before="100" w:after="100"/>
        <w:rPr/>
      </w:pPr>
      <w:r>
        <w:rPr>
          <w:b w:val="true"/>
          <w:color w:val="000000"/>
          <w:sz w:val="28"/>
        </w:rPr>
        <w:t>3.2.4</w:t>
      </w:r>
    </w:p>
    <w:p>
      <w:pPr>
        <w:pStyle w:val="TextBody"/>
        <w:ind w:firstLine="400"/>
        <w:rPr/>
      </w:pPr>
      <w:r>
        <w:rPr>
          <w:color w:val="000000"/>
          <w:sz w:val="24"/>
        </w:rPr>
        <w:t>除本所另有规定外，投资者的委托指令应当包括：</w:t>
      </w:r>
    </w:p>
    <w:p>
      <w:pPr>
        <w:pStyle w:val="TextBody"/>
        <w:ind w:firstLine="400"/>
        <w:rPr/>
      </w:pPr>
      <w:r>
        <w:rPr>
          <w:color w:val="000000"/>
          <w:sz w:val="24"/>
        </w:rPr>
        <w:t>（一）证券账户号码；</w:t>
      </w:r>
    </w:p>
    <w:p>
      <w:pPr>
        <w:pStyle w:val="TextBody"/>
        <w:ind w:firstLine="400"/>
        <w:rPr/>
      </w:pPr>
      <w:r>
        <w:rPr>
          <w:color w:val="000000"/>
          <w:sz w:val="24"/>
        </w:rPr>
        <w:t>（二）证券代码；</w:t>
      </w:r>
    </w:p>
    <w:p>
      <w:pPr>
        <w:pStyle w:val="TextBody"/>
        <w:ind w:firstLine="400"/>
        <w:rPr/>
      </w:pPr>
      <w:r>
        <w:rPr>
          <w:color w:val="000000"/>
          <w:sz w:val="24"/>
        </w:rPr>
        <w:t>（三）买卖方向；</w:t>
      </w:r>
    </w:p>
    <w:p>
      <w:pPr>
        <w:pStyle w:val="TextBody"/>
        <w:ind w:firstLine="400"/>
        <w:rPr/>
      </w:pPr>
      <w:r>
        <w:rPr>
          <w:color w:val="000000"/>
          <w:sz w:val="24"/>
        </w:rPr>
        <w:t>（四）委托数量；</w:t>
      </w:r>
    </w:p>
    <w:p>
      <w:pPr>
        <w:pStyle w:val="TextBody"/>
        <w:ind w:firstLine="400"/>
        <w:rPr/>
      </w:pPr>
      <w:r>
        <w:rPr>
          <w:color w:val="000000"/>
          <w:sz w:val="24"/>
        </w:rPr>
        <w:t>（五）委托价格；</w:t>
      </w:r>
    </w:p>
    <w:p>
      <w:pPr>
        <w:pStyle w:val="TextBody"/>
        <w:ind w:firstLine="400"/>
        <w:rPr/>
      </w:pPr>
      <w:r>
        <w:rPr>
          <w:color w:val="000000"/>
          <w:sz w:val="24"/>
        </w:rPr>
        <w:t>（六）本所及会员要求的其他内容。</w:t>
      </w:r>
    </w:p>
    <w:p>
      <w:pPr>
        <w:pStyle w:val="标题 3"/>
        <w:spacing w:before="100" w:after="100"/>
        <w:rPr/>
      </w:pPr>
      <w:r>
        <w:rPr>
          <w:b w:val="true"/>
          <w:color w:val="000000"/>
          <w:sz w:val="28"/>
        </w:rPr>
        <w:t>3.2.5</w:t>
      </w:r>
    </w:p>
    <w:p>
      <w:pPr>
        <w:pStyle w:val="TextBody"/>
        <w:ind w:firstLine="400"/>
        <w:rPr/>
      </w:pPr>
      <w:r>
        <w:rPr>
          <w:color w:val="000000"/>
          <w:sz w:val="24"/>
        </w:rPr>
        <w:t>投资者可以采用限价委托或市价委托的方式委托会员买卖证券。</w:t>
      </w:r>
    </w:p>
    <w:p>
      <w:pPr>
        <w:pStyle w:val="TextBody"/>
        <w:ind w:firstLine="400"/>
        <w:rPr/>
      </w:pPr>
      <w:r>
        <w:rPr>
          <w:color w:val="000000"/>
          <w:sz w:val="24"/>
        </w:rPr>
        <w:t>限价委托，是指投资者委托会员按其限定的价格买卖证券，会员必须按限定的价格或低于限定的价格申报买入证券；按限定的价格或高于限定的价格申报卖出证券。</w:t>
      </w:r>
    </w:p>
    <w:p>
      <w:pPr>
        <w:pStyle w:val="TextBody"/>
        <w:ind w:firstLine="400"/>
        <w:rPr/>
      </w:pPr>
      <w:r>
        <w:rPr>
          <w:color w:val="000000"/>
          <w:sz w:val="24"/>
        </w:rPr>
        <w:t>市价委托，是指投资者委托会员按市场价格买卖证券。</w:t>
      </w:r>
    </w:p>
    <w:p>
      <w:pPr>
        <w:pStyle w:val="标题 3"/>
        <w:spacing w:before="100" w:after="100"/>
        <w:rPr/>
      </w:pPr>
      <w:r>
        <w:rPr>
          <w:b w:val="true"/>
          <w:color w:val="000000"/>
          <w:sz w:val="28"/>
        </w:rPr>
        <w:t>3.2.6</w:t>
      </w:r>
    </w:p>
    <w:p>
      <w:pPr>
        <w:pStyle w:val="TextBody"/>
        <w:ind w:firstLine="400"/>
        <w:rPr/>
      </w:pPr>
      <w:r>
        <w:rPr>
          <w:color w:val="000000"/>
          <w:sz w:val="24"/>
        </w:rPr>
        <w:t>投资者可以撤销委托的未成交部分。</w:t>
      </w:r>
    </w:p>
    <w:p>
      <w:pPr>
        <w:pStyle w:val="标题 3"/>
        <w:spacing w:before="100" w:after="100"/>
        <w:rPr/>
      </w:pPr>
      <w:r>
        <w:rPr>
          <w:b w:val="true"/>
          <w:color w:val="000000"/>
          <w:sz w:val="28"/>
        </w:rPr>
        <w:t>3.2.7</w:t>
      </w:r>
    </w:p>
    <w:p>
      <w:pPr>
        <w:pStyle w:val="TextBody"/>
        <w:ind w:firstLine="400"/>
        <w:rPr/>
      </w:pPr>
      <w:r>
        <w:rPr>
          <w:color w:val="000000"/>
          <w:sz w:val="24"/>
        </w:rPr>
        <w:t>被撤销或失效的委托，会员应当在确认后及时向投资者返还相应的资金或证券。</w:t>
      </w:r>
    </w:p>
    <w:p>
      <w:pPr>
        <w:pStyle w:val="标题 4"/>
        <w:spacing w:before="100" w:after="100"/>
        <w:rPr/>
      </w:pPr>
      <w:r>
        <w:rPr>
          <w:b w:val="true"/>
          <w:color w:val="000000"/>
          <w:sz w:val="24"/>
        </w:rPr>
        <w:t>第三节 申报</w:t>
      </w:r>
    </w:p>
    <w:p>
      <w:pPr>
        <w:pStyle w:val="标题 3"/>
        <w:spacing w:before="100" w:after="100"/>
        <w:rPr/>
      </w:pPr>
      <w:r>
        <w:rPr>
          <w:b w:val="true"/>
          <w:color w:val="000000"/>
          <w:sz w:val="28"/>
        </w:rPr>
        <w:t>3.3.1</w:t>
      </w:r>
    </w:p>
    <w:p>
      <w:pPr>
        <w:pStyle w:val="TextBody"/>
        <w:ind w:firstLine="400"/>
        <w:rPr/>
      </w:pPr>
      <w:r>
        <w:rPr>
          <w:color w:val="000000"/>
          <w:sz w:val="24"/>
        </w:rPr>
        <w:t>本所接受交易参与人竞价交易申报的时间为每个交易日</w:t>
      </w:r>
      <w:r>
        <w:rPr>
          <w:color w:val="000000"/>
          <w:sz w:val="24"/>
        </w:rPr>
        <w:t>9:15</w:t>
      </w:r>
      <w:r>
        <w:rPr>
          <w:color w:val="000000"/>
          <w:sz w:val="24"/>
        </w:rPr>
        <w:t>至</w:t>
      </w:r>
      <w:r>
        <w:rPr>
          <w:color w:val="000000"/>
          <w:sz w:val="24"/>
        </w:rPr>
        <w:t>9:25</w:t>
      </w:r>
      <w:r>
        <w:rPr>
          <w:color w:val="000000"/>
          <w:sz w:val="24"/>
        </w:rPr>
        <w:t>、</w:t>
      </w:r>
      <w:r>
        <w:rPr>
          <w:color w:val="000000"/>
          <w:sz w:val="24"/>
        </w:rPr>
        <w:t>9:30</w:t>
      </w:r>
      <w:r>
        <w:rPr>
          <w:color w:val="000000"/>
          <w:sz w:val="24"/>
        </w:rPr>
        <w:t>至</w:t>
      </w:r>
      <w:r>
        <w:rPr>
          <w:color w:val="000000"/>
          <w:sz w:val="24"/>
        </w:rPr>
        <w:t>11:30</w:t>
      </w:r>
      <w:r>
        <w:rPr>
          <w:color w:val="000000"/>
          <w:sz w:val="24"/>
        </w:rPr>
        <w:t>、</w:t>
      </w:r>
      <w:r>
        <w:rPr>
          <w:color w:val="000000"/>
          <w:sz w:val="24"/>
        </w:rPr>
        <w:t>13:00</w:t>
      </w:r>
      <w:r>
        <w:rPr>
          <w:color w:val="000000"/>
          <w:sz w:val="24"/>
        </w:rPr>
        <w:t>至</w:t>
      </w:r>
      <w:r>
        <w:rPr>
          <w:color w:val="000000"/>
          <w:sz w:val="24"/>
        </w:rPr>
        <w:t>15:00</w:t>
      </w:r>
      <w:r>
        <w:rPr>
          <w:color w:val="000000"/>
          <w:sz w:val="24"/>
        </w:rPr>
        <w:t>。</w:t>
      </w:r>
    </w:p>
    <w:p>
      <w:pPr>
        <w:pStyle w:val="TextBody"/>
        <w:ind w:firstLine="400"/>
        <w:rPr/>
      </w:pPr>
      <w:r>
        <w:rPr>
          <w:color w:val="000000"/>
          <w:sz w:val="24"/>
        </w:rPr>
        <w:t>每个交易日</w:t>
      </w:r>
      <w:r>
        <w:rPr>
          <w:color w:val="000000"/>
          <w:sz w:val="24"/>
        </w:rPr>
        <w:t>9:20</w:t>
      </w:r>
      <w:r>
        <w:rPr>
          <w:color w:val="000000"/>
          <w:sz w:val="24"/>
        </w:rPr>
        <w:t>至</w:t>
      </w:r>
      <w:r>
        <w:rPr>
          <w:color w:val="000000"/>
          <w:sz w:val="24"/>
        </w:rPr>
        <w:t>9:25</w:t>
      </w:r>
      <w:r>
        <w:rPr>
          <w:color w:val="000000"/>
          <w:sz w:val="24"/>
        </w:rPr>
        <w:t>、</w:t>
      </w:r>
      <w:r>
        <w:rPr>
          <w:color w:val="000000"/>
          <w:sz w:val="24"/>
        </w:rPr>
        <w:t>14:57</w:t>
      </w:r>
      <w:r>
        <w:rPr>
          <w:color w:val="000000"/>
          <w:sz w:val="24"/>
        </w:rPr>
        <w:t>至</w:t>
      </w:r>
      <w:r>
        <w:rPr>
          <w:color w:val="000000"/>
          <w:sz w:val="24"/>
        </w:rPr>
        <w:t>15:00</w:t>
      </w:r>
      <w:r>
        <w:rPr>
          <w:color w:val="000000"/>
          <w:sz w:val="24"/>
        </w:rPr>
        <w:t>，本所交易主机不接受参与竞价交易的撤销申报；在其他接受申报的时间内，未成交申报可以撤销。</w:t>
      </w:r>
    </w:p>
    <w:p>
      <w:pPr>
        <w:pStyle w:val="TextBody"/>
        <w:ind w:firstLine="400"/>
        <w:rPr/>
      </w:pPr>
      <w:r>
        <w:rPr>
          <w:color w:val="000000"/>
          <w:sz w:val="24"/>
        </w:rPr>
        <w:t>本所可以调整接受申报的时间。</w:t>
      </w:r>
    </w:p>
    <w:p>
      <w:pPr>
        <w:pStyle w:val="标题 3"/>
        <w:spacing w:before="100" w:after="100"/>
        <w:rPr/>
      </w:pPr>
      <w:r>
        <w:rPr>
          <w:b w:val="true"/>
          <w:color w:val="000000"/>
          <w:sz w:val="28"/>
        </w:rPr>
        <w:t>3.3.2</w:t>
      </w:r>
    </w:p>
    <w:p>
      <w:pPr>
        <w:pStyle w:val="TextBody"/>
        <w:ind w:firstLine="400"/>
        <w:rPr/>
      </w:pPr>
      <w:r>
        <w:rPr>
          <w:color w:val="000000"/>
          <w:sz w:val="24"/>
        </w:rPr>
        <w:t>会员应当按照接受投资者委托的时间先后顺序及时向本所申报。</w:t>
      </w:r>
    </w:p>
    <w:p>
      <w:pPr>
        <w:pStyle w:val="TextBody"/>
        <w:ind w:firstLine="400"/>
        <w:rPr/>
      </w:pPr>
      <w:r>
        <w:rPr>
          <w:color w:val="000000"/>
          <w:sz w:val="24"/>
        </w:rPr>
        <w:t>买卖申报和撤销申报经本所交易主机确认后方为有效。</w:t>
      </w:r>
    </w:p>
    <w:p>
      <w:pPr>
        <w:pStyle w:val="标题 3"/>
        <w:spacing w:before="100" w:after="100"/>
        <w:rPr/>
      </w:pPr>
      <w:r>
        <w:rPr>
          <w:b w:val="true"/>
          <w:color w:val="000000"/>
          <w:sz w:val="28"/>
        </w:rPr>
        <w:t>3.3.3</w:t>
      </w:r>
    </w:p>
    <w:p>
      <w:pPr>
        <w:pStyle w:val="TextBody"/>
        <w:ind w:firstLine="400"/>
        <w:rPr/>
      </w:pPr>
      <w:r>
        <w:rPr>
          <w:color w:val="000000"/>
          <w:sz w:val="24"/>
        </w:rPr>
        <w:t>除另有规定外，本所接受交易参与人的限价申报和市价申报。</w:t>
      </w:r>
    </w:p>
    <w:p>
      <w:pPr>
        <w:pStyle w:val="标题 3"/>
        <w:spacing w:before="100" w:after="100"/>
        <w:rPr/>
      </w:pPr>
      <w:r>
        <w:rPr>
          <w:b w:val="true"/>
          <w:color w:val="000000"/>
          <w:sz w:val="28"/>
        </w:rPr>
        <w:t>3.3.4</w:t>
      </w:r>
    </w:p>
    <w:p>
      <w:pPr>
        <w:pStyle w:val="TextBody"/>
        <w:ind w:firstLine="400"/>
        <w:rPr/>
      </w:pPr>
      <w:r>
        <w:rPr>
          <w:color w:val="000000"/>
          <w:sz w:val="24"/>
        </w:rPr>
        <w:t>本所可以根据市场需要，接受下列类型的市价申报：</w:t>
      </w:r>
    </w:p>
    <w:p>
      <w:pPr>
        <w:pStyle w:val="TextBody"/>
        <w:ind w:firstLine="400"/>
        <w:rPr/>
      </w:pPr>
      <w:r>
        <w:rPr>
          <w:color w:val="000000"/>
          <w:sz w:val="24"/>
        </w:rPr>
        <w:t>（一）对手方最优价格申报；</w:t>
      </w:r>
    </w:p>
    <w:p>
      <w:pPr>
        <w:pStyle w:val="TextBody"/>
        <w:ind w:firstLine="400"/>
        <w:rPr/>
      </w:pPr>
      <w:r>
        <w:rPr>
          <w:color w:val="000000"/>
          <w:sz w:val="24"/>
        </w:rPr>
        <w:t>（二）本方最优价格申报；</w:t>
      </w:r>
    </w:p>
    <w:p>
      <w:pPr>
        <w:pStyle w:val="TextBody"/>
        <w:ind w:firstLine="400"/>
        <w:rPr/>
      </w:pPr>
      <w:r>
        <w:rPr>
          <w:color w:val="000000"/>
          <w:sz w:val="24"/>
        </w:rPr>
        <w:t>（三）最优五档即时成交剩余撤销申报；</w:t>
      </w:r>
    </w:p>
    <w:p>
      <w:pPr>
        <w:pStyle w:val="TextBody"/>
        <w:ind w:firstLine="400"/>
        <w:rPr/>
      </w:pPr>
      <w:r>
        <w:rPr>
          <w:color w:val="000000"/>
          <w:sz w:val="24"/>
        </w:rPr>
        <w:t>（四）即时成交剩余撤销申报；</w:t>
      </w:r>
    </w:p>
    <w:p>
      <w:pPr>
        <w:pStyle w:val="TextBody"/>
        <w:ind w:firstLine="400"/>
        <w:rPr/>
      </w:pPr>
      <w:r>
        <w:rPr>
          <w:color w:val="000000"/>
          <w:sz w:val="24"/>
        </w:rPr>
        <w:t>（五）全额成交或撤销申报；</w:t>
      </w:r>
    </w:p>
    <w:p>
      <w:pPr>
        <w:pStyle w:val="TextBody"/>
        <w:ind w:firstLine="400"/>
        <w:rPr/>
      </w:pPr>
      <w:r>
        <w:rPr>
          <w:color w:val="000000"/>
          <w:sz w:val="24"/>
        </w:rPr>
        <w:t>（六）本所规定的其他类型。</w:t>
      </w:r>
    </w:p>
    <w:p>
      <w:pPr>
        <w:pStyle w:val="TextBody"/>
        <w:ind w:firstLine="400"/>
        <w:rPr/>
      </w:pPr>
      <w:r>
        <w:rPr>
          <w:color w:val="000000"/>
          <w:sz w:val="24"/>
        </w:rPr>
        <w:t>对手方最优价格申报，以申报进入交易主机时集中申报簿中对手方队列的最优价格为其申报价格。</w:t>
      </w:r>
    </w:p>
    <w:p>
      <w:pPr>
        <w:pStyle w:val="TextBody"/>
        <w:ind w:firstLine="400"/>
        <w:rPr/>
      </w:pPr>
      <w:r>
        <w:rPr>
          <w:color w:val="000000"/>
          <w:sz w:val="24"/>
        </w:rPr>
        <w:t>本方最优价格申报，以申报进入交易主机时集中申报簿中本方队列的最优价格为其申报价格。</w:t>
      </w:r>
    </w:p>
    <w:p>
      <w:pPr>
        <w:pStyle w:val="TextBody"/>
        <w:ind w:firstLine="400"/>
        <w:rPr/>
      </w:pPr>
      <w:r>
        <w:rPr>
          <w:color w:val="000000"/>
          <w:sz w:val="24"/>
        </w:rPr>
        <w:t>最优五档即时成交剩余撤销申报，以对手方价格为成交价，与申报进入交易主机时集中申报簿中对手方最优五个价位的申报队列依次成交，未成交部分自动撤销。</w:t>
      </w:r>
    </w:p>
    <w:p>
      <w:pPr>
        <w:pStyle w:val="TextBody"/>
        <w:ind w:firstLine="400"/>
        <w:rPr/>
      </w:pPr>
      <w:r>
        <w:rPr>
          <w:color w:val="000000"/>
          <w:sz w:val="24"/>
        </w:rPr>
        <w:t>即时成交并撤销申报，以对手方价格为成交价，与申报进入交易主机时集中申报簿中对手方所有申报队列依次成交，未成交部分自动撤销。</w:t>
      </w:r>
    </w:p>
    <w:p>
      <w:pPr>
        <w:pStyle w:val="TextBody"/>
        <w:ind w:firstLine="400"/>
        <w:rPr/>
      </w:pPr>
      <w:r>
        <w:rPr>
          <w:color w:val="000000"/>
          <w:sz w:val="24"/>
        </w:rPr>
        <w:t>全额成交或撤销申报，以对手方价格为成交价，如与申报进入交易主机时集中申报簿中对手方所有申报队列依次成交能够使其完全成交的，则依次成交，否则申报全部自动撤销。</w:t>
      </w:r>
    </w:p>
    <w:p>
      <w:pPr>
        <w:pStyle w:val="标题 3"/>
        <w:spacing w:before="100" w:after="100"/>
        <w:rPr/>
      </w:pPr>
      <w:r>
        <w:rPr>
          <w:b w:val="true"/>
          <w:color w:val="000000"/>
          <w:sz w:val="28"/>
        </w:rPr>
        <w:t>3.3.5</w:t>
      </w:r>
    </w:p>
    <w:p>
      <w:pPr>
        <w:pStyle w:val="TextBody"/>
        <w:ind w:firstLine="400"/>
        <w:rPr/>
      </w:pPr>
      <w:r>
        <w:rPr>
          <w:color w:val="000000"/>
          <w:sz w:val="24"/>
        </w:rPr>
        <w:t>市价申报只适用于有价格涨跌幅限制证券连续竞价期间的交易。其他交易时间，交易主机不接受市价申报。</w:t>
      </w:r>
    </w:p>
    <w:p>
      <w:pPr>
        <w:pStyle w:val="标题 3"/>
        <w:spacing w:before="100" w:after="100"/>
        <w:rPr/>
      </w:pPr>
      <w:r>
        <w:rPr>
          <w:b w:val="true"/>
          <w:color w:val="000000"/>
          <w:sz w:val="28"/>
        </w:rPr>
        <w:t>3.3.6</w:t>
      </w:r>
    </w:p>
    <w:p>
      <w:pPr>
        <w:pStyle w:val="TextBody"/>
        <w:ind w:firstLine="400"/>
        <w:rPr/>
      </w:pPr>
      <w:r>
        <w:rPr>
          <w:color w:val="000000"/>
          <w:sz w:val="24"/>
        </w:rPr>
        <w:t>本方最优价格申报进入交易主机时，集中申报簿中本方无申报的，申报自动撤销。</w:t>
      </w:r>
    </w:p>
    <w:p>
      <w:pPr>
        <w:pStyle w:val="TextBody"/>
        <w:ind w:firstLine="400"/>
        <w:rPr/>
      </w:pPr>
      <w:r>
        <w:rPr>
          <w:color w:val="000000"/>
          <w:sz w:val="24"/>
        </w:rPr>
        <w:t>其他市价申报类型进入交易主机时，集中申报簿中对手方无申报的，申报自动撤销。</w:t>
      </w:r>
    </w:p>
    <w:p>
      <w:pPr>
        <w:pStyle w:val="标题 3"/>
        <w:spacing w:before="100" w:after="100"/>
        <w:rPr/>
      </w:pPr>
      <w:r>
        <w:rPr>
          <w:b w:val="true"/>
          <w:color w:val="000000"/>
          <w:sz w:val="28"/>
        </w:rPr>
        <w:t>3.3.7</w:t>
      </w:r>
    </w:p>
    <w:p>
      <w:pPr>
        <w:pStyle w:val="TextBody"/>
        <w:ind w:firstLine="400"/>
        <w:rPr/>
      </w:pPr>
      <w:r>
        <w:rPr>
          <w:color w:val="000000"/>
          <w:sz w:val="24"/>
        </w:rPr>
        <w:t>限价申报指令应当包括证券账户号码、证券代码、交易单元代码、证券营业部识别码、买卖方向、数量、价格等内容。</w:t>
      </w:r>
    </w:p>
    <w:p>
      <w:pPr>
        <w:pStyle w:val="TextBody"/>
        <w:ind w:firstLine="400"/>
        <w:rPr/>
      </w:pPr>
      <w:r>
        <w:rPr>
          <w:color w:val="000000"/>
          <w:sz w:val="24"/>
        </w:rPr>
        <w:t>市价申报指令应当包括申报类型、证券账户号码、证券代码、交易单元代码、证券营业部识别码、买卖方向、数量等内容。</w:t>
      </w:r>
    </w:p>
    <w:p>
      <w:pPr>
        <w:pStyle w:val="TextBody"/>
        <w:ind w:firstLine="400"/>
        <w:rPr/>
      </w:pPr>
      <w:r>
        <w:rPr>
          <w:color w:val="000000"/>
          <w:sz w:val="24"/>
        </w:rPr>
        <w:t>申报指令应当按本所规定的格式传送。</w:t>
      </w:r>
    </w:p>
    <w:p>
      <w:pPr>
        <w:pStyle w:val="TextBody"/>
        <w:ind w:firstLine="400"/>
        <w:rPr/>
      </w:pPr>
      <w:r>
        <w:rPr>
          <w:color w:val="000000"/>
          <w:sz w:val="24"/>
        </w:rPr>
        <w:t>本所可以根据市场需要，调整申报的内容。</w:t>
      </w:r>
    </w:p>
    <w:p>
      <w:pPr>
        <w:pStyle w:val="标题 3"/>
        <w:spacing w:before="100" w:after="100"/>
        <w:rPr/>
      </w:pPr>
      <w:r>
        <w:rPr>
          <w:b w:val="true"/>
          <w:color w:val="000000"/>
          <w:sz w:val="28"/>
        </w:rPr>
        <w:t>3.3.8</w:t>
      </w:r>
    </w:p>
    <w:p>
      <w:pPr>
        <w:pStyle w:val="TextBody"/>
        <w:ind w:firstLine="400"/>
        <w:rPr/>
      </w:pPr>
      <w:r>
        <w:rPr>
          <w:color w:val="000000"/>
          <w:sz w:val="24"/>
        </w:rPr>
        <w:t>通过竞价交易买入股票或基金的，申报数量应当为</w:t>
      </w:r>
      <w:r>
        <w:rPr>
          <w:color w:val="000000"/>
          <w:sz w:val="24"/>
        </w:rPr>
        <w:t>100</w:t>
      </w:r>
      <w:r>
        <w:rPr>
          <w:color w:val="000000"/>
          <w:sz w:val="24"/>
        </w:rPr>
        <w:t>股（份）或其整数倍。</w:t>
      </w:r>
    </w:p>
    <w:p>
      <w:pPr>
        <w:pStyle w:val="TextBody"/>
        <w:ind w:firstLine="400"/>
        <w:rPr/>
      </w:pPr>
      <w:r>
        <w:rPr>
          <w:color w:val="000000"/>
          <w:sz w:val="24"/>
        </w:rPr>
        <w:t>卖出股票或基金时，余额不足</w:t>
      </w:r>
      <w:r>
        <w:rPr>
          <w:color w:val="000000"/>
          <w:sz w:val="24"/>
        </w:rPr>
        <w:t>100</w:t>
      </w:r>
      <w:r>
        <w:rPr>
          <w:color w:val="000000"/>
          <w:sz w:val="24"/>
        </w:rPr>
        <w:t>股（份）部分，应当一次性申报卖出。</w:t>
      </w:r>
    </w:p>
    <w:p>
      <w:pPr>
        <w:pStyle w:val="标题 3"/>
        <w:spacing w:before="100" w:after="100"/>
        <w:rPr/>
      </w:pPr>
      <w:r>
        <w:rPr>
          <w:b w:val="true"/>
          <w:color w:val="000000"/>
          <w:sz w:val="28"/>
        </w:rPr>
        <w:t>3.3.9</w:t>
      </w:r>
    </w:p>
    <w:p>
      <w:pPr>
        <w:pStyle w:val="TextBody"/>
        <w:ind w:firstLine="400"/>
        <w:rPr/>
      </w:pPr>
      <w:r>
        <w:rPr>
          <w:color w:val="000000"/>
          <w:sz w:val="24"/>
        </w:rPr>
        <w:t>通过竞价交易买入债券以</w:t>
      </w:r>
      <w:r>
        <w:rPr>
          <w:color w:val="000000"/>
          <w:sz w:val="24"/>
        </w:rPr>
        <w:t>10</w:t>
      </w:r>
      <w:r>
        <w:rPr>
          <w:color w:val="000000"/>
          <w:sz w:val="24"/>
        </w:rPr>
        <w:t>张或其整数倍进行申报。买入、卖出债券质押式回购以</w:t>
      </w:r>
      <w:r>
        <w:rPr>
          <w:color w:val="000000"/>
          <w:sz w:val="24"/>
        </w:rPr>
        <w:t>10</w:t>
      </w:r>
      <w:r>
        <w:rPr>
          <w:color w:val="000000"/>
          <w:sz w:val="24"/>
        </w:rPr>
        <w:t>张或其整数倍进行申报。</w:t>
      </w:r>
    </w:p>
    <w:p>
      <w:pPr>
        <w:pStyle w:val="TextBody"/>
        <w:ind w:firstLine="400"/>
        <w:rPr/>
      </w:pPr>
      <w:r>
        <w:rPr>
          <w:color w:val="000000"/>
          <w:sz w:val="24"/>
        </w:rPr>
        <w:t>卖出债券时，余额不足</w:t>
      </w:r>
      <w:r>
        <w:rPr>
          <w:color w:val="000000"/>
          <w:sz w:val="24"/>
        </w:rPr>
        <w:t>10</w:t>
      </w:r>
      <w:r>
        <w:rPr>
          <w:color w:val="000000"/>
          <w:sz w:val="24"/>
        </w:rPr>
        <w:t>张部分，应当一次性申报卖出。</w:t>
      </w:r>
    </w:p>
    <w:p>
      <w:pPr>
        <w:pStyle w:val="TextBody"/>
        <w:ind w:firstLine="400"/>
        <w:rPr/>
      </w:pPr>
      <w:r>
        <w:rPr>
          <w:color w:val="000000"/>
          <w:sz w:val="24"/>
        </w:rPr>
        <w:t>债券以人民币</w:t>
      </w:r>
      <w:r>
        <w:rPr>
          <w:color w:val="000000"/>
          <w:sz w:val="24"/>
        </w:rPr>
        <w:t>100</w:t>
      </w:r>
      <w:r>
        <w:rPr>
          <w:color w:val="000000"/>
          <w:sz w:val="24"/>
        </w:rPr>
        <w:t>元面额为</w:t>
      </w:r>
      <w:r>
        <w:rPr>
          <w:color w:val="000000"/>
          <w:sz w:val="24"/>
        </w:rPr>
        <w:t>1</w:t>
      </w:r>
      <w:r>
        <w:rPr>
          <w:color w:val="000000"/>
          <w:sz w:val="24"/>
        </w:rPr>
        <w:t>张，债券质押式回购以</w:t>
      </w:r>
      <w:r>
        <w:rPr>
          <w:color w:val="000000"/>
          <w:sz w:val="24"/>
        </w:rPr>
        <w:t>100</w:t>
      </w:r>
      <w:r>
        <w:rPr>
          <w:color w:val="000000"/>
          <w:sz w:val="24"/>
        </w:rPr>
        <w:t>元标准券为</w:t>
      </w:r>
      <w:r>
        <w:rPr>
          <w:color w:val="000000"/>
          <w:sz w:val="24"/>
        </w:rPr>
        <w:t>1</w:t>
      </w:r>
      <w:r>
        <w:rPr>
          <w:color w:val="000000"/>
          <w:sz w:val="24"/>
        </w:rPr>
        <w:t>张。本所另有规定的除外。</w:t>
      </w:r>
    </w:p>
    <w:p>
      <w:pPr>
        <w:pStyle w:val="标题 3"/>
        <w:spacing w:before="100" w:after="100"/>
        <w:rPr/>
      </w:pPr>
      <w:r>
        <w:rPr>
          <w:b w:val="true"/>
          <w:color w:val="000000"/>
          <w:sz w:val="28"/>
        </w:rPr>
        <w:t>3.3.10</w:t>
      </w:r>
    </w:p>
    <w:p>
      <w:pPr>
        <w:pStyle w:val="TextBody"/>
        <w:ind w:firstLine="400"/>
        <w:rPr/>
      </w:pPr>
      <w:r>
        <w:rPr>
          <w:color w:val="000000"/>
          <w:sz w:val="24"/>
        </w:rPr>
        <w:t>股票（基金）竞价交易单笔申报最大数量不得超过</w:t>
      </w:r>
      <w:r>
        <w:rPr>
          <w:color w:val="000000"/>
          <w:sz w:val="24"/>
        </w:rPr>
        <w:t>100</w:t>
      </w:r>
      <w:r>
        <w:rPr>
          <w:color w:val="000000"/>
          <w:sz w:val="24"/>
        </w:rPr>
        <w:t>万股（份），债券和债券质押式回购竞价交易单笔申报最大数量不得超过</w:t>
      </w:r>
      <w:r>
        <w:rPr>
          <w:color w:val="000000"/>
          <w:sz w:val="24"/>
        </w:rPr>
        <w:t>100</w:t>
      </w:r>
      <w:r>
        <w:rPr>
          <w:color w:val="000000"/>
          <w:sz w:val="24"/>
        </w:rPr>
        <w:t>万张。</w:t>
      </w:r>
    </w:p>
    <w:p>
      <w:pPr>
        <w:pStyle w:val="标题 3"/>
        <w:spacing w:before="100" w:after="100"/>
        <w:rPr/>
      </w:pPr>
      <w:r>
        <w:rPr>
          <w:b w:val="true"/>
          <w:color w:val="000000"/>
          <w:sz w:val="28"/>
        </w:rPr>
        <w:t>3.3.11</w:t>
      </w:r>
    </w:p>
    <w:p>
      <w:pPr>
        <w:pStyle w:val="TextBody"/>
        <w:ind w:firstLine="400"/>
        <w:rPr/>
      </w:pPr>
      <w:r>
        <w:rPr>
          <w:color w:val="000000"/>
          <w:sz w:val="24"/>
        </w:rPr>
        <w:t>股票交易的计价单位为“每股价格”，基金交易的计价单位为“每份基金价格”，债券交易的计价单位为“每百元面值的价格”，债券质押式回购交易的计价单位为“每百元资金到期年收益”。本所另有规定的除外。</w:t>
      </w:r>
    </w:p>
    <w:p>
      <w:pPr>
        <w:pStyle w:val="标题 3"/>
        <w:spacing w:before="100" w:after="100"/>
        <w:rPr/>
      </w:pPr>
      <w:r>
        <w:rPr>
          <w:b w:val="true"/>
          <w:color w:val="000000"/>
          <w:sz w:val="28"/>
        </w:rPr>
        <w:t>3.3.12</w:t>
      </w:r>
    </w:p>
    <w:p>
      <w:pPr>
        <w:pStyle w:val="TextBody"/>
        <w:ind w:firstLine="400"/>
        <w:rPr/>
      </w:pPr>
      <w:r>
        <w:rPr>
          <w:color w:val="000000"/>
          <w:sz w:val="24"/>
        </w:rPr>
        <w:t>债券交易可以采取净价交易或全价交易的方式。</w:t>
      </w:r>
    </w:p>
    <w:p>
      <w:pPr>
        <w:pStyle w:val="TextBody"/>
        <w:ind w:firstLine="400"/>
        <w:rPr/>
      </w:pPr>
      <w:r>
        <w:rPr>
          <w:color w:val="000000"/>
          <w:sz w:val="24"/>
        </w:rPr>
        <w:t>净价交易，是指买卖债券时以不含有应计利息的价格申报并成交。</w:t>
      </w:r>
    </w:p>
    <w:p>
      <w:pPr>
        <w:pStyle w:val="TextBody"/>
        <w:ind w:firstLine="400"/>
        <w:rPr/>
      </w:pPr>
      <w:r>
        <w:rPr>
          <w:color w:val="000000"/>
          <w:sz w:val="24"/>
        </w:rPr>
        <w:t>全价交易，是指买卖债券时以含有应计利息的价格申报并成交。</w:t>
      </w:r>
    </w:p>
    <w:p>
      <w:pPr>
        <w:pStyle w:val="标题 3"/>
        <w:spacing w:before="100" w:after="100"/>
        <w:rPr/>
      </w:pPr>
      <w:r>
        <w:rPr>
          <w:b w:val="true"/>
          <w:color w:val="000000"/>
          <w:sz w:val="28"/>
        </w:rPr>
        <w:t>3.3.13</w:t>
      </w:r>
    </w:p>
    <w:p>
      <w:pPr>
        <w:pStyle w:val="TextBody"/>
        <w:ind w:firstLine="400"/>
        <w:rPr/>
      </w:pPr>
      <w:r>
        <w:rPr>
          <w:color w:val="000000"/>
          <w:sz w:val="24"/>
        </w:rPr>
        <w:t>A</w:t>
      </w:r>
      <w:r>
        <w:rPr>
          <w:color w:val="000000"/>
          <w:sz w:val="24"/>
        </w:rPr>
        <w:t>股交易的申报价格最小变动单位为</w:t>
      </w:r>
      <w:r>
        <w:rPr>
          <w:color w:val="000000"/>
          <w:sz w:val="24"/>
        </w:rPr>
        <w:t>0.01</w:t>
      </w:r>
      <w:r>
        <w:rPr>
          <w:color w:val="000000"/>
          <w:sz w:val="24"/>
        </w:rPr>
        <w:t>元人民币；基金、债券、债券质押式回购交易的申报价格最小变动单位为</w:t>
      </w:r>
      <w:r>
        <w:rPr>
          <w:color w:val="000000"/>
          <w:sz w:val="24"/>
        </w:rPr>
        <w:t>0.001</w:t>
      </w:r>
      <w:r>
        <w:rPr>
          <w:color w:val="000000"/>
          <w:sz w:val="24"/>
        </w:rPr>
        <w:t>元人民币；</w:t>
      </w:r>
      <w:r>
        <w:rPr>
          <w:color w:val="000000"/>
          <w:sz w:val="24"/>
        </w:rPr>
        <w:t>B</w:t>
      </w:r>
      <w:r>
        <w:rPr>
          <w:color w:val="000000"/>
          <w:sz w:val="24"/>
        </w:rPr>
        <w:t>股的申报价格最小变动单位为</w:t>
      </w:r>
      <w:r>
        <w:rPr>
          <w:color w:val="000000"/>
          <w:sz w:val="24"/>
        </w:rPr>
        <w:t>0.01</w:t>
      </w:r>
      <w:r>
        <w:rPr>
          <w:color w:val="000000"/>
          <w:sz w:val="24"/>
        </w:rPr>
        <w:t>港元。</w:t>
      </w:r>
    </w:p>
    <w:p>
      <w:pPr>
        <w:pStyle w:val="标题 3"/>
        <w:spacing w:before="100" w:after="100"/>
        <w:rPr/>
      </w:pPr>
      <w:r>
        <w:rPr>
          <w:b w:val="true"/>
          <w:color w:val="000000"/>
          <w:sz w:val="28"/>
        </w:rPr>
        <w:t>3.3.14</w:t>
      </w:r>
    </w:p>
    <w:p>
      <w:pPr>
        <w:pStyle w:val="TextBody"/>
        <w:ind w:firstLine="400"/>
        <w:rPr/>
      </w:pPr>
      <w:r>
        <w:rPr>
          <w:color w:val="000000"/>
          <w:sz w:val="24"/>
        </w:rPr>
        <w:t>本所可以根据市场需要，调整证券单笔买卖申报数量和申报价格的最小变动单位。</w:t>
      </w:r>
    </w:p>
    <w:p>
      <w:pPr>
        <w:pStyle w:val="标题 3"/>
        <w:spacing w:before="100" w:after="100"/>
        <w:rPr/>
      </w:pPr>
      <w:r>
        <w:rPr>
          <w:b w:val="true"/>
          <w:color w:val="000000"/>
          <w:sz w:val="28"/>
        </w:rPr>
        <w:t>3.3.15</w:t>
      </w:r>
    </w:p>
    <w:p>
      <w:pPr>
        <w:pStyle w:val="TextBody"/>
        <w:ind w:firstLine="400"/>
        <w:rPr/>
      </w:pPr>
      <w:r>
        <w:rPr>
          <w:color w:val="000000"/>
          <w:sz w:val="24"/>
        </w:rPr>
        <w:t>本所对股票、基金交易实行价格涨跌幅限制，涨跌幅限制比例为</w:t>
      </w:r>
      <w:r>
        <w:rPr>
          <w:color w:val="000000"/>
          <w:sz w:val="24"/>
        </w:rPr>
        <w:t>10%</w:t>
      </w:r>
      <w:r>
        <w:rPr>
          <w:color w:val="000000"/>
          <w:sz w:val="24"/>
        </w:rPr>
        <w:t>，</w:t>
      </w:r>
      <w:r>
        <w:rPr>
          <w:color w:val="000000"/>
          <w:sz w:val="24"/>
        </w:rPr>
        <w:t>ST</w:t>
      </w:r>
      <w:r>
        <w:rPr>
          <w:color w:val="000000"/>
          <w:sz w:val="24"/>
        </w:rPr>
        <w:t>和</w:t>
      </w:r>
      <w:r>
        <w:rPr>
          <w:color w:val="000000"/>
          <w:sz w:val="24"/>
        </w:rPr>
        <w:t>*ST</w:t>
      </w:r>
      <w:r>
        <w:rPr>
          <w:color w:val="000000"/>
          <w:sz w:val="24"/>
        </w:rPr>
        <w:t>等被实施特别处理的股票价格涨跌幅限制比例为</w:t>
      </w:r>
      <w:r>
        <w:rPr>
          <w:color w:val="000000"/>
          <w:sz w:val="24"/>
        </w:rPr>
        <w:t>5%</w:t>
      </w:r>
      <w:r>
        <w:rPr>
          <w:color w:val="000000"/>
          <w:sz w:val="24"/>
        </w:rPr>
        <w:t>。经证监会批准，本所可以调整证券的涨跌幅限制比例。</w:t>
      </w:r>
    </w:p>
    <w:p>
      <w:pPr>
        <w:pStyle w:val="标题 3"/>
        <w:spacing w:before="100" w:after="100"/>
        <w:rPr/>
      </w:pPr>
      <w:r>
        <w:rPr>
          <w:b w:val="true"/>
          <w:color w:val="000000"/>
          <w:sz w:val="28"/>
        </w:rPr>
        <w:t>3.3.16</w:t>
      </w:r>
    </w:p>
    <w:p>
      <w:pPr>
        <w:pStyle w:val="TextBody"/>
        <w:ind w:firstLine="400"/>
        <w:rPr/>
      </w:pPr>
      <w:r>
        <w:rPr>
          <w:color w:val="000000"/>
          <w:sz w:val="24"/>
        </w:rPr>
        <w:t>涨跌幅限制价格的计算公式为：涨跌幅限制价格</w:t>
      </w:r>
      <w:r>
        <w:rPr>
          <w:color w:val="000000"/>
          <w:sz w:val="24"/>
        </w:rPr>
        <w:t>=</w:t>
      </w:r>
      <w:r>
        <w:rPr>
          <w:color w:val="000000"/>
          <w:sz w:val="24"/>
        </w:rPr>
        <w:t>前收盘价</w:t>
      </w:r>
      <w:r>
        <w:rPr>
          <w:color w:val="000000"/>
          <w:sz w:val="24"/>
        </w:rPr>
        <w:t>×</w:t>
      </w:r>
      <w:r>
        <w:rPr>
          <w:color w:val="000000"/>
          <w:sz w:val="24"/>
        </w:rPr>
        <w:t>（</w:t>
      </w:r>
      <w:r>
        <w:rPr>
          <w:color w:val="000000"/>
          <w:sz w:val="24"/>
        </w:rPr>
        <w:t>1±</w:t>
      </w:r>
      <w:r>
        <w:rPr>
          <w:color w:val="000000"/>
          <w:sz w:val="24"/>
        </w:rPr>
        <w:t>涨跌幅限制比例）。</w:t>
      </w:r>
    </w:p>
    <w:p>
      <w:pPr>
        <w:pStyle w:val="TextBody"/>
        <w:ind w:firstLine="400"/>
        <w:rPr/>
      </w:pPr>
      <w:r>
        <w:rPr>
          <w:color w:val="000000"/>
          <w:sz w:val="24"/>
        </w:rPr>
        <w:t>计算结果按照四舍五入原则取至价格最小变动单位。</w:t>
      </w:r>
    </w:p>
    <w:p>
      <w:pPr>
        <w:pStyle w:val="TextBody"/>
        <w:ind w:firstLine="400"/>
        <w:rPr/>
      </w:pPr>
      <w:r>
        <w:rPr>
          <w:color w:val="000000"/>
          <w:sz w:val="24"/>
        </w:rPr>
        <w:t>涨跌幅限制价格与前收盘价之差的绝对值低于价格最小变动单位的，以前收盘价增减一个价格最小变动单位为涨跌幅限制价格。</w:t>
      </w:r>
    </w:p>
    <w:p>
      <w:pPr>
        <w:pStyle w:val="标题 3"/>
        <w:spacing w:before="100" w:after="100"/>
        <w:rPr/>
      </w:pPr>
      <w:r>
        <w:rPr>
          <w:b w:val="true"/>
          <w:color w:val="000000"/>
          <w:sz w:val="28"/>
        </w:rPr>
        <w:t>3.3.17</w:t>
      </w:r>
    </w:p>
    <w:p>
      <w:pPr>
        <w:pStyle w:val="TextBody"/>
        <w:ind w:firstLine="400"/>
        <w:rPr/>
      </w:pPr>
      <w:r>
        <w:rPr>
          <w:color w:val="000000"/>
          <w:sz w:val="24"/>
        </w:rPr>
        <w:t>属于下列情形之一的，股票上市首日不实行价格涨跌幅限制：</w:t>
      </w:r>
    </w:p>
    <w:p>
      <w:pPr>
        <w:pStyle w:val="TextBody"/>
        <w:ind w:firstLine="400"/>
        <w:rPr/>
      </w:pPr>
      <w:r>
        <w:rPr>
          <w:color w:val="000000"/>
          <w:sz w:val="24"/>
        </w:rPr>
        <w:t>（一）首次公开发行股票上市的；</w:t>
      </w:r>
    </w:p>
    <w:p>
      <w:pPr>
        <w:pStyle w:val="TextBody"/>
        <w:ind w:firstLine="400"/>
        <w:rPr/>
      </w:pPr>
      <w:r>
        <w:rPr>
          <w:color w:val="000000"/>
          <w:sz w:val="24"/>
        </w:rPr>
        <w:t>（二）暂停上市后恢复上市的；</w:t>
      </w:r>
    </w:p>
    <w:p>
      <w:pPr>
        <w:pStyle w:val="TextBody"/>
        <w:ind w:firstLine="400"/>
        <w:rPr/>
      </w:pPr>
      <w:r>
        <w:rPr>
          <w:color w:val="000000"/>
          <w:sz w:val="24"/>
        </w:rPr>
        <w:t>（三）证监会或本所认定的其他情形。</w:t>
      </w:r>
    </w:p>
    <w:p>
      <w:pPr>
        <w:pStyle w:val="标题 3"/>
        <w:spacing w:before="100" w:after="100"/>
        <w:rPr/>
      </w:pPr>
      <w:r>
        <w:rPr>
          <w:b w:val="true"/>
          <w:color w:val="000000"/>
          <w:sz w:val="28"/>
        </w:rPr>
        <w:t>3.3.18</w:t>
      </w:r>
    </w:p>
    <w:p>
      <w:pPr>
        <w:pStyle w:val="TextBody"/>
        <w:ind w:firstLine="400"/>
        <w:rPr/>
      </w:pPr>
      <w:r>
        <w:rPr>
          <w:color w:val="000000"/>
          <w:sz w:val="24"/>
        </w:rPr>
        <w:t>申报当日有效。每笔竞价交易的申报不能一次全部成交时，未成交部分继续参加当日竞价，但第</w:t>
      </w:r>
      <w:r>
        <w:rPr>
          <w:color w:val="000000"/>
          <w:sz w:val="24"/>
        </w:rPr>
        <w:t>3.3.4</w:t>
      </w:r>
      <w:r>
        <w:rPr>
          <w:color w:val="000000"/>
          <w:sz w:val="24"/>
        </w:rPr>
        <w:t>条第（三）、（四）、（五）项市价申报类型除外。</w:t>
      </w:r>
    </w:p>
    <w:p>
      <w:pPr>
        <w:pStyle w:val="标题 4"/>
        <w:spacing w:before="100" w:after="100"/>
        <w:rPr/>
      </w:pPr>
      <w:r>
        <w:rPr>
          <w:b w:val="true"/>
          <w:color w:val="000000"/>
          <w:sz w:val="24"/>
        </w:rPr>
        <w:t>第四节 竞价</w:t>
      </w:r>
    </w:p>
    <w:p>
      <w:pPr>
        <w:pStyle w:val="标题 3"/>
        <w:spacing w:before="100" w:after="100"/>
        <w:rPr/>
      </w:pPr>
      <w:r>
        <w:rPr>
          <w:b w:val="true"/>
          <w:color w:val="000000"/>
          <w:sz w:val="28"/>
        </w:rPr>
        <w:t>3.4.1</w:t>
      </w:r>
    </w:p>
    <w:p>
      <w:pPr>
        <w:pStyle w:val="TextBody"/>
        <w:ind w:firstLine="400"/>
        <w:rPr/>
      </w:pPr>
      <w:r>
        <w:rPr>
          <w:color w:val="000000"/>
          <w:sz w:val="24"/>
        </w:rPr>
        <w:t>证券竞价交易采用集合竞价和连续竞价两种方式。</w:t>
      </w:r>
    </w:p>
    <w:p>
      <w:pPr>
        <w:pStyle w:val="TextBody"/>
        <w:ind w:firstLine="400"/>
        <w:rPr/>
      </w:pPr>
      <w:r>
        <w:rPr>
          <w:color w:val="000000"/>
          <w:sz w:val="24"/>
        </w:rPr>
        <w:t>集合竞价，是指对一段时间内接受的买卖申报一次性集中撮合的竞价方式。</w:t>
      </w:r>
    </w:p>
    <w:p>
      <w:pPr>
        <w:pStyle w:val="TextBody"/>
        <w:ind w:firstLine="400"/>
        <w:rPr/>
      </w:pPr>
      <w:r>
        <w:rPr>
          <w:color w:val="000000"/>
          <w:sz w:val="24"/>
        </w:rPr>
        <w:t>连续竞价，是指对买卖申报逐笔连续撮合的竞价方式。</w:t>
      </w:r>
    </w:p>
    <w:p>
      <w:pPr>
        <w:pStyle w:val="标题 3"/>
        <w:spacing w:before="100" w:after="100"/>
        <w:rPr/>
      </w:pPr>
      <w:r>
        <w:rPr>
          <w:b w:val="true"/>
          <w:color w:val="000000"/>
          <w:sz w:val="28"/>
        </w:rPr>
        <w:t>3.4.2</w:t>
      </w:r>
    </w:p>
    <w:p>
      <w:pPr>
        <w:pStyle w:val="TextBody"/>
        <w:ind w:firstLine="400"/>
        <w:rPr/>
      </w:pPr>
      <w:r>
        <w:rPr>
          <w:color w:val="000000"/>
          <w:sz w:val="24"/>
        </w:rPr>
        <w:t>买卖有价格涨跌幅限制的证券，其有效竞价范围与涨跌幅限制范围一致，在价格涨跌幅限制以内的申报为有效申报，超过涨跌幅限制的申报为无效申报。</w:t>
      </w:r>
    </w:p>
    <w:p>
      <w:pPr>
        <w:pStyle w:val="标题 3"/>
        <w:spacing w:before="100" w:after="100"/>
        <w:rPr/>
      </w:pPr>
      <w:r>
        <w:rPr>
          <w:b w:val="true"/>
          <w:color w:val="000000"/>
          <w:sz w:val="28"/>
        </w:rPr>
        <w:t>3.4.3</w:t>
      </w:r>
    </w:p>
    <w:p>
      <w:pPr>
        <w:pStyle w:val="TextBody"/>
        <w:ind w:firstLine="400"/>
        <w:rPr/>
      </w:pPr>
      <w:r>
        <w:rPr>
          <w:color w:val="000000"/>
          <w:sz w:val="24"/>
        </w:rPr>
        <w:t>买卖无价格涨跌幅限制的证券，按下列方法确定有效竞价范围：</w:t>
      </w:r>
    </w:p>
    <w:p>
      <w:pPr>
        <w:pStyle w:val="TextBody"/>
        <w:ind w:firstLine="400"/>
        <w:rPr/>
      </w:pPr>
      <w:r>
        <w:rPr>
          <w:color w:val="000000"/>
          <w:sz w:val="24"/>
        </w:rPr>
        <w:t>（一）股票开盘集合竞价的有效竞价范围为即时行情显示的前收盘价的</w:t>
      </w:r>
      <w:r>
        <w:rPr>
          <w:color w:val="000000"/>
          <w:sz w:val="24"/>
        </w:rPr>
        <w:t>900%</w:t>
      </w:r>
      <w:r>
        <w:rPr>
          <w:color w:val="000000"/>
          <w:sz w:val="24"/>
        </w:rPr>
        <w:t>以内，连续竞价、盘中临时停牌复牌集合竞价、收盘集合竞价的有效竞价范围为最近成交价的上下</w:t>
      </w:r>
      <w:r>
        <w:rPr>
          <w:color w:val="000000"/>
          <w:sz w:val="24"/>
        </w:rPr>
        <w:t>10%</w:t>
      </w:r>
      <w:r>
        <w:rPr>
          <w:color w:val="000000"/>
          <w:sz w:val="24"/>
        </w:rPr>
        <w:t>；</w:t>
      </w:r>
    </w:p>
    <w:p>
      <w:pPr>
        <w:pStyle w:val="TextBody"/>
        <w:ind w:firstLine="400"/>
        <w:rPr/>
      </w:pPr>
      <w:r>
        <w:rPr>
          <w:color w:val="000000"/>
          <w:sz w:val="24"/>
        </w:rPr>
        <w:t>（二）债券上市首日开盘集合竞价的有效竞价范围为发行价的上下</w:t>
      </w:r>
      <w:r>
        <w:rPr>
          <w:color w:val="000000"/>
          <w:sz w:val="24"/>
        </w:rPr>
        <w:t>30%</w:t>
      </w:r>
      <w:r>
        <w:rPr>
          <w:color w:val="000000"/>
          <w:sz w:val="24"/>
        </w:rPr>
        <w:t>，连续竞价、收盘集合竞价的有效竞价范围为最近成交价的上下</w:t>
      </w:r>
      <w:r>
        <w:rPr>
          <w:color w:val="000000"/>
          <w:sz w:val="24"/>
        </w:rPr>
        <w:t>10%</w:t>
      </w:r>
      <w:r>
        <w:rPr>
          <w:color w:val="000000"/>
          <w:sz w:val="24"/>
        </w:rPr>
        <w:t>；非上市首日开盘集合竞价的有效竞价范围为前收盘价的上下</w:t>
      </w:r>
      <w:r>
        <w:rPr>
          <w:color w:val="000000"/>
          <w:sz w:val="24"/>
        </w:rPr>
        <w:t>10%</w:t>
      </w:r>
      <w:r>
        <w:rPr>
          <w:color w:val="000000"/>
          <w:sz w:val="24"/>
        </w:rPr>
        <w:t>，连续竞价、收盘集合竞价的有效竞价范围为最近成交价的上下</w:t>
      </w:r>
      <w:r>
        <w:rPr>
          <w:color w:val="000000"/>
          <w:sz w:val="24"/>
        </w:rPr>
        <w:t>10%</w:t>
      </w:r>
      <w:r>
        <w:rPr>
          <w:color w:val="000000"/>
          <w:sz w:val="24"/>
        </w:rPr>
        <w:t>；</w:t>
      </w:r>
    </w:p>
    <w:p>
      <w:pPr>
        <w:pStyle w:val="TextBody"/>
        <w:ind w:firstLine="400"/>
        <w:rPr/>
      </w:pPr>
      <w:r>
        <w:rPr>
          <w:color w:val="000000"/>
          <w:sz w:val="24"/>
        </w:rPr>
        <w:t>（三）债券质押式回购非上市首日开盘集合竞价的有效竞价范围为前收盘价的上下</w:t>
      </w:r>
      <w:r>
        <w:rPr>
          <w:color w:val="000000"/>
          <w:sz w:val="24"/>
        </w:rPr>
        <w:t>100%</w:t>
      </w:r>
      <w:r>
        <w:rPr>
          <w:color w:val="000000"/>
          <w:sz w:val="24"/>
        </w:rPr>
        <w:t>，连续竞价、收盘集合竞价的有效竞价范围为最近成交价的上下</w:t>
      </w:r>
      <w:r>
        <w:rPr>
          <w:color w:val="000000"/>
          <w:sz w:val="24"/>
        </w:rPr>
        <w:t>100%</w:t>
      </w:r>
      <w:r>
        <w:rPr>
          <w:color w:val="000000"/>
          <w:sz w:val="24"/>
        </w:rPr>
        <w:t>。债券质押式回购上市首日的有效竞价范围设置，由本所另行规定。</w:t>
      </w:r>
    </w:p>
    <w:p>
      <w:pPr>
        <w:pStyle w:val="TextBody"/>
        <w:ind w:firstLine="400"/>
        <w:rPr/>
      </w:pPr>
      <w:r>
        <w:rPr>
          <w:color w:val="000000"/>
          <w:sz w:val="24"/>
        </w:rPr>
        <w:t>有效竞价范围计算结果按照四舍五入原则取至价格最小变动单位。</w:t>
      </w:r>
    </w:p>
    <w:p>
      <w:pPr>
        <w:pStyle w:val="TextBody"/>
        <w:ind w:firstLine="400"/>
        <w:rPr/>
      </w:pPr>
      <w:r>
        <w:rPr>
          <w:color w:val="000000"/>
          <w:sz w:val="24"/>
        </w:rPr>
        <w:t>无价格涨跌幅限制证券有效竞价范围上限或下限与最近成交价之差的绝对值低于价格最小变动单位的，以最近成交价增减一个该证券的价格最小变动单位为有效竞价范围。</w:t>
      </w:r>
    </w:p>
    <w:p>
      <w:pPr>
        <w:pStyle w:val="标题 3"/>
        <w:spacing w:before="100" w:after="100"/>
        <w:rPr/>
      </w:pPr>
      <w:r>
        <w:rPr>
          <w:b w:val="true"/>
          <w:color w:val="000000"/>
          <w:sz w:val="28"/>
        </w:rPr>
        <w:t>3.4.4</w:t>
      </w:r>
    </w:p>
    <w:p>
      <w:pPr>
        <w:pStyle w:val="TextBody"/>
        <w:ind w:firstLine="400"/>
        <w:rPr/>
      </w:pPr>
      <w:r>
        <w:rPr>
          <w:color w:val="000000"/>
          <w:sz w:val="24"/>
        </w:rPr>
        <w:t>买卖无价格涨跌幅限制的证券，超过有效竞价范围的申报不能即时参加竞价，暂存于交易主机；当成交价波动使其进入有效竞价范围时，交易主机自动取出申报，参加竞价。</w:t>
      </w:r>
    </w:p>
    <w:p>
      <w:pPr>
        <w:pStyle w:val="标题 3"/>
        <w:spacing w:before="100" w:after="100"/>
        <w:rPr/>
      </w:pPr>
      <w:r>
        <w:rPr>
          <w:b w:val="true"/>
          <w:color w:val="000000"/>
          <w:sz w:val="28"/>
        </w:rPr>
        <w:t>3.4.5</w:t>
      </w:r>
    </w:p>
    <w:p>
      <w:pPr>
        <w:pStyle w:val="TextBody"/>
        <w:ind w:firstLine="400"/>
        <w:rPr/>
      </w:pPr>
      <w:r>
        <w:rPr>
          <w:color w:val="000000"/>
          <w:sz w:val="24"/>
        </w:rPr>
        <w:t>无价格涨跌幅限制的证券在集合竞价期间没有产生成交的，继续交易时，按下列方式调整有效竞价范围：</w:t>
      </w:r>
    </w:p>
    <w:p>
      <w:pPr>
        <w:pStyle w:val="TextBody"/>
        <w:ind w:firstLine="400"/>
        <w:rPr/>
      </w:pPr>
      <w:r>
        <w:rPr>
          <w:color w:val="000000"/>
          <w:sz w:val="24"/>
        </w:rPr>
        <w:t>（一）有效竞价范围内的最高买入申报价高于即时行情显示的前收盘价或最近成交价，以最高买入申报价为基准调整有效竞价范围；</w:t>
      </w:r>
    </w:p>
    <w:p>
      <w:pPr>
        <w:pStyle w:val="TextBody"/>
        <w:ind w:firstLine="400"/>
        <w:rPr/>
      </w:pPr>
      <w:r>
        <w:rPr>
          <w:color w:val="000000"/>
          <w:sz w:val="24"/>
        </w:rPr>
        <w:t>（二）有效竞价范围内的最低卖出申报价低于即时行情显示的前收盘价或最近成交价，以最低卖出申报价为基准调整有效竞价范围。</w:t>
      </w:r>
    </w:p>
    <w:p>
      <w:pPr>
        <w:pStyle w:val="标题 3"/>
        <w:spacing w:before="100" w:after="100"/>
        <w:rPr/>
      </w:pPr>
      <w:r>
        <w:rPr>
          <w:b w:val="true"/>
          <w:color w:val="000000"/>
          <w:sz w:val="28"/>
        </w:rPr>
        <w:t>3.4.6</w:t>
      </w:r>
    </w:p>
    <w:p>
      <w:pPr>
        <w:pStyle w:val="TextBody"/>
        <w:ind w:firstLine="400"/>
        <w:rPr/>
      </w:pPr>
      <w:r>
        <w:rPr>
          <w:color w:val="000000"/>
          <w:sz w:val="24"/>
        </w:rPr>
        <w:t>本所可以根据市场需要，调整证券的有效竞价范围。</w:t>
      </w:r>
    </w:p>
    <w:p>
      <w:pPr>
        <w:pStyle w:val="标题 4"/>
        <w:spacing w:before="100" w:after="100"/>
        <w:rPr/>
      </w:pPr>
      <w:r>
        <w:rPr>
          <w:b w:val="true"/>
          <w:color w:val="000000"/>
          <w:sz w:val="24"/>
        </w:rPr>
        <w:t>第五节 成交</w:t>
      </w:r>
    </w:p>
    <w:p>
      <w:pPr>
        <w:pStyle w:val="标题 3"/>
        <w:spacing w:before="100" w:after="100"/>
        <w:rPr/>
      </w:pPr>
      <w:r>
        <w:rPr>
          <w:b w:val="true"/>
          <w:color w:val="000000"/>
          <w:sz w:val="28"/>
        </w:rPr>
        <w:t>3.5.1</w:t>
      </w:r>
    </w:p>
    <w:p>
      <w:pPr>
        <w:pStyle w:val="TextBody"/>
        <w:ind w:firstLine="400"/>
        <w:rPr/>
      </w:pPr>
      <w:r>
        <w:rPr>
          <w:color w:val="000000"/>
          <w:sz w:val="24"/>
        </w:rPr>
        <w:t>证券竞价交易按价格优先、时间优先的原则撮合成交。</w:t>
      </w:r>
    </w:p>
    <w:p>
      <w:pPr>
        <w:pStyle w:val="TextBody"/>
        <w:ind w:firstLine="400"/>
        <w:rPr/>
      </w:pPr>
      <w:r>
        <w:rPr>
          <w:color w:val="000000"/>
          <w:sz w:val="24"/>
        </w:rPr>
        <w:t>价格优先的原则为：较高价格买入申报优先于较低价格买入申报，较低价格卖出申报优先于较高价格卖出申报。</w:t>
      </w:r>
    </w:p>
    <w:p>
      <w:pPr>
        <w:pStyle w:val="TextBody"/>
        <w:ind w:firstLine="400"/>
        <w:rPr/>
      </w:pPr>
      <w:r>
        <w:rPr>
          <w:color w:val="000000"/>
          <w:sz w:val="24"/>
        </w:rPr>
        <w:t>时间优先的原则为：买卖方向、价格相同的，先申报者优先于后申报者。先后顺序按交易主机接受申报的时间确定。</w:t>
      </w:r>
    </w:p>
    <w:p>
      <w:pPr>
        <w:pStyle w:val="标题 3"/>
        <w:spacing w:before="100" w:after="100"/>
        <w:rPr/>
      </w:pPr>
      <w:r>
        <w:rPr>
          <w:b w:val="true"/>
          <w:color w:val="000000"/>
          <w:sz w:val="28"/>
        </w:rPr>
        <w:t>3.5.2</w:t>
      </w:r>
    </w:p>
    <w:p>
      <w:pPr>
        <w:pStyle w:val="TextBody"/>
        <w:ind w:firstLine="400"/>
        <w:rPr/>
      </w:pPr>
      <w:r>
        <w:rPr>
          <w:color w:val="000000"/>
          <w:sz w:val="24"/>
        </w:rPr>
        <w:t>集合竞价时，成交价的确定原则为：</w:t>
      </w:r>
    </w:p>
    <w:p>
      <w:pPr>
        <w:pStyle w:val="TextBody"/>
        <w:ind w:firstLine="400"/>
        <w:rPr/>
      </w:pPr>
      <w:r>
        <w:rPr>
          <w:color w:val="000000"/>
          <w:sz w:val="24"/>
        </w:rPr>
        <w:t>（一）可实现最大成交量；</w:t>
      </w:r>
    </w:p>
    <w:p>
      <w:pPr>
        <w:pStyle w:val="TextBody"/>
        <w:ind w:firstLine="400"/>
        <w:rPr/>
      </w:pPr>
      <w:r>
        <w:rPr>
          <w:color w:val="000000"/>
          <w:sz w:val="24"/>
        </w:rPr>
        <w:t>（二）高于该价格的买入申报与低于该价格的卖出申报全部成交；</w:t>
      </w:r>
    </w:p>
    <w:p>
      <w:pPr>
        <w:pStyle w:val="TextBody"/>
        <w:ind w:firstLine="400"/>
        <w:rPr/>
      </w:pPr>
      <w:r>
        <w:rPr>
          <w:color w:val="000000"/>
          <w:sz w:val="24"/>
        </w:rPr>
        <w:t>（三）与该价格相同的买方或卖方至少有一方全部成交。</w:t>
      </w:r>
    </w:p>
    <w:p>
      <w:pPr>
        <w:pStyle w:val="TextBody"/>
        <w:ind w:firstLine="400"/>
        <w:rPr/>
      </w:pPr>
      <w:r>
        <w:rPr>
          <w:color w:val="000000"/>
          <w:sz w:val="24"/>
        </w:rPr>
        <w:t>两个以上价格符合上述条件的，取在该价格以上的买入申报累计数量与在该价格以下的卖出申报累计数量之差最小的价格为成交价；买卖申报累计数量之差仍存在相等情况的，开盘集合竞价时取最接近即时行情显示的前收盘价的价格为成交价，盘中、收盘集合竞价时取最接近最近成交价的价格为成交价。</w:t>
      </w:r>
    </w:p>
    <w:p>
      <w:pPr>
        <w:pStyle w:val="TextBody"/>
        <w:ind w:firstLine="400"/>
        <w:rPr/>
      </w:pPr>
      <w:r>
        <w:rPr>
          <w:color w:val="000000"/>
          <w:sz w:val="24"/>
        </w:rPr>
        <w:t>集合竞价的所有交易以同一价格成交。</w:t>
      </w:r>
    </w:p>
    <w:p>
      <w:pPr>
        <w:pStyle w:val="标题 3"/>
        <w:spacing w:before="100" w:after="100"/>
        <w:rPr/>
      </w:pPr>
      <w:r>
        <w:rPr>
          <w:b w:val="true"/>
          <w:color w:val="000000"/>
          <w:sz w:val="28"/>
        </w:rPr>
        <w:t>3.5.3</w:t>
      </w:r>
    </w:p>
    <w:p>
      <w:pPr>
        <w:pStyle w:val="TextBody"/>
        <w:ind w:firstLine="400"/>
        <w:rPr/>
      </w:pPr>
      <w:r>
        <w:rPr>
          <w:color w:val="000000"/>
          <w:sz w:val="24"/>
        </w:rPr>
        <w:t>连续竞价时，成交价的确定原则为：</w:t>
      </w:r>
    </w:p>
    <w:p>
      <w:pPr>
        <w:pStyle w:val="TextBody"/>
        <w:ind w:firstLine="400"/>
        <w:rPr/>
      </w:pPr>
      <w:r>
        <w:rPr>
          <w:color w:val="000000"/>
          <w:sz w:val="24"/>
        </w:rPr>
        <w:t>（一）最高买入申报与最低卖出申报价格相同，以该价格为成交价；</w:t>
      </w:r>
    </w:p>
    <w:p>
      <w:pPr>
        <w:pStyle w:val="TextBody"/>
        <w:ind w:firstLine="400"/>
        <w:rPr/>
      </w:pPr>
      <w:r>
        <w:rPr>
          <w:color w:val="000000"/>
          <w:sz w:val="24"/>
        </w:rPr>
        <w:t>（二）买入申报价格高于集中申报簿当时最低卖出申报价格时，以集中申报簿当时的最低卖出申报价格为成交价；</w:t>
      </w:r>
    </w:p>
    <w:p>
      <w:pPr>
        <w:pStyle w:val="TextBody"/>
        <w:ind w:firstLine="400"/>
        <w:rPr/>
      </w:pPr>
      <w:r>
        <w:rPr>
          <w:color w:val="000000"/>
          <w:sz w:val="24"/>
        </w:rPr>
        <w:t>（三）卖出申报价格低于集中申报簿当时最高买入申报价格时，以集中申报簿当时的最高买入申报价格为成交价。</w:t>
      </w:r>
    </w:p>
    <w:p>
      <w:pPr>
        <w:pStyle w:val="标题 3"/>
        <w:spacing w:before="100" w:after="100"/>
        <w:rPr/>
      </w:pPr>
      <w:r>
        <w:rPr>
          <w:b w:val="true"/>
          <w:color w:val="000000"/>
          <w:sz w:val="28"/>
        </w:rPr>
        <w:t>3.5.4</w:t>
      </w:r>
    </w:p>
    <w:p>
      <w:pPr>
        <w:pStyle w:val="TextBody"/>
        <w:ind w:firstLine="400"/>
        <w:rPr/>
      </w:pPr>
      <w:r>
        <w:rPr>
          <w:color w:val="000000"/>
          <w:sz w:val="24"/>
        </w:rPr>
        <w:t>买卖申报经交易主机撮合成交后，交易即告成立。符合本规则各项规定达成的交易于成立时生效，买卖双方必须承认交易结果，履行清算交收义务。</w:t>
      </w:r>
    </w:p>
    <w:p>
      <w:pPr>
        <w:pStyle w:val="TextBody"/>
        <w:ind w:firstLine="400"/>
        <w:rPr/>
      </w:pPr>
      <w:r>
        <w:rPr>
          <w:color w:val="000000"/>
          <w:sz w:val="24"/>
        </w:rPr>
        <w:t>因不可抗力、意外事件、交易系统被非法侵入等原因造成严重后果的交易，本所可以采取适当措施或认定无效。</w:t>
      </w:r>
    </w:p>
    <w:p>
      <w:pPr>
        <w:pStyle w:val="TextBody"/>
        <w:ind w:firstLine="400"/>
        <w:rPr/>
      </w:pPr>
      <w:r>
        <w:rPr>
          <w:color w:val="000000"/>
          <w:sz w:val="24"/>
        </w:rPr>
        <w:t>对显失公平的交易，经本所认定，可以采取适当措施。违反本规则，严重破坏证券市场正常运行的交易，本所有权宣布取消交易。由此造成的损失由违规交易者承担。</w:t>
      </w:r>
    </w:p>
    <w:p>
      <w:pPr>
        <w:pStyle w:val="标题 3"/>
        <w:spacing w:before="100" w:after="100"/>
        <w:rPr/>
      </w:pPr>
      <w:r>
        <w:rPr>
          <w:b w:val="true"/>
          <w:color w:val="000000"/>
          <w:sz w:val="28"/>
        </w:rPr>
        <w:t>3.5.5</w:t>
      </w:r>
    </w:p>
    <w:p>
      <w:pPr>
        <w:pStyle w:val="TextBody"/>
        <w:ind w:firstLine="400"/>
        <w:rPr/>
      </w:pPr>
      <w:r>
        <w:rPr>
          <w:color w:val="000000"/>
          <w:sz w:val="24"/>
        </w:rPr>
        <w:t>依照本规则达成的交易，其成交结果以交易主机记录的成交数据为准。</w:t>
      </w:r>
    </w:p>
    <w:p>
      <w:pPr>
        <w:pStyle w:val="标题 3"/>
        <w:spacing w:before="100" w:after="100"/>
        <w:rPr/>
      </w:pPr>
      <w:r>
        <w:rPr>
          <w:b w:val="true"/>
          <w:color w:val="000000"/>
          <w:sz w:val="28"/>
        </w:rPr>
        <w:t>3.5.6</w:t>
      </w:r>
    </w:p>
    <w:p>
      <w:pPr>
        <w:pStyle w:val="TextBody"/>
        <w:ind w:firstLine="400"/>
        <w:rPr/>
      </w:pPr>
      <w:r>
        <w:rPr>
          <w:color w:val="000000"/>
          <w:sz w:val="24"/>
        </w:rPr>
        <w:t>证券交易的清算交收业务，应当按照本所指定的登记结算机构的规定办理。</w:t>
      </w:r>
    </w:p>
    <w:p>
      <w:pPr>
        <w:pStyle w:val="标题 4"/>
        <w:spacing w:before="100" w:after="100"/>
        <w:rPr/>
      </w:pPr>
      <w:r>
        <w:rPr>
          <w:b w:val="true"/>
          <w:color w:val="000000"/>
          <w:sz w:val="24"/>
        </w:rPr>
        <w:t>第六节 大宗交易</w:t>
      </w:r>
    </w:p>
    <w:p>
      <w:pPr>
        <w:pStyle w:val="标题 3"/>
        <w:spacing w:before="100" w:after="100"/>
        <w:rPr/>
      </w:pPr>
      <w:r>
        <w:rPr>
          <w:b w:val="true"/>
          <w:color w:val="000000"/>
          <w:sz w:val="28"/>
        </w:rPr>
        <w:t>3.6.1</w:t>
      </w:r>
    </w:p>
    <w:p>
      <w:pPr>
        <w:pStyle w:val="TextBody"/>
        <w:ind w:firstLine="400"/>
        <w:rPr/>
      </w:pPr>
      <w:r>
        <w:rPr>
          <w:color w:val="000000"/>
          <w:sz w:val="24"/>
        </w:rPr>
        <w:t>在本所进行的证券交易符合以下条件的，可以采用大宗交易方式：</w:t>
      </w:r>
    </w:p>
    <w:p>
      <w:pPr>
        <w:pStyle w:val="TextBody"/>
        <w:ind w:firstLine="400"/>
        <w:rPr/>
      </w:pPr>
      <w:r>
        <w:rPr>
          <w:color w:val="000000"/>
          <w:sz w:val="24"/>
        </w:rPr>
        <w:t>（一）</w:t>
      </w:r>
      <w:r>
        <w:rPr>
          <w:color w:val="000000"/>
          <w:sz w:val="24"/>
        </w:rPr>
        <w:t>A</w:t>
      </w:r>
      <w:r>
        <w:rPr>
          <w:color w:val="000000"/>
          <w:sz w:val="24"/>
        </w:rPr>
        <w:t>股单笔交易数量不低于</w:t>
      </w:r>
      <w:r>
        <w:rPr>
          <w:color w:val="000000"/>
          <w:sz w:val="24"/>
        </w:rPr>
        <w:t>30</w:t>
      </w:r>
      <w:r>
        <w:rPr>
          <w:color w:val="000000"/>
          <w:sz w:val="24"/>
        </w:rPr>
        <w:t>万股，或者交易金额不低于</w:t>
      </w:r>
      <w:r>
        <w:rPr>
          <w:color w:val="000000"/>
          <w:sz w:val="24"/>
        </w:rPr>
        <w:t>200</w:t>
      </w:r>
      <w:r>
        <w:rPr>
          <w:color w:val="000000"/>
          <w:sz w:val="24"/>
        </w:rPr>
        <w:t>万元人民币；</w:t>
      </w:r>
    </w:p>
    <w:p>
      <w:pPr>
        <w:pStyle w:val="TextBody"/>
        <w:ind w:firstLine="400"/>
        <w:rPr/>
      </w:pPr>
      <w:r>
        <w:rPr>
          <w:color w:val="000000"/>
          <w:sz w:val="24"/>
        </w:rPr>
        <w:t>（二）</w:t>
      </w:r>
      <w:r>
        <w:rPr>
          <w:color w:val="000000"/>
          <w:sz w:val="24"/>
        </w:rPr>
        <w:t>B</w:t>
      </w:r>
      <w:r>
        <w:rPr>
          <w:color w:val="000000"/>
          <w:sz w:val="24"/>
        </w:rPr>
        <w:t>股单笔交易数量不低于</w:t>
      </w:r>
      <w:r>
        <w:rPr>
          <w:color w:val="000000"/>
          <w:sz w:val="24"/>
        </w:rPr>
        <w:t>3</w:t>
      </w:r>
      <w:r>
        <w:rPr>
          <w:color w:val="000000"/>
          <w:sz w:val="24"/>
        </w:rPr>
        <w:t>万股，或者交易金额不低于</w:t>
      </w:r>
      <w:r>
        <w:rPr>
          <w:color w:val="000000"/>
          <w:sz w:val="24"/>
        </w:rPr>
        <w:t>20</w:t>
      </w:r>
      <w:r>
        <w:rPr>
          <w:color w:val="000000"/>
          <w:sz w:val="24"/>
        </w:rPr>
        <w:t>万元港币；</w:t>
      </w:r>
    </w:p>
    <w:p>
      <w:pPr>
        <w:pStyle w:val="TextBody"/>
        <w:ind w:firstLine="400"/>
        <w:rPr/>
      </w:pPr>
      <w:r>
        <w:rPr>
          <w:color w:val="000000"/>
          <w:sz w:val="24"/>
        </w:rPr>
        <w:t>（三）基金单笔交易数量不低于</w:t>
      </w:r>
      <w:r>
        <w:rPr>
          <w:color w:val="000000"/>
          <w:sz w:val="24"/>
        </w:rPr>
        <w:t>200</w:t>
      </w:r>
      <w:r>
        <w:rPr>
          <w:color w:val="000000"/>
          <w:sz w:val="24"/>
        </w:rPr>
        <w:t>万份，或者交易金额不低于</w:t>
      </w:r>
      <w:r>
        <w:rPr>
          <w:color w:val="000000"/>
          <w:sz w:val="24"/>
        </w:rPr>
        <w:t>200</w:t>
      </w:r>
      <w:r>
        <w:rPr>
          <w:color w:val="000000"/>
          <w:sz w:val="24"/>
        </w:rPr>
        <w:t>万元人民币；</w:t>
      </w:r>
    </w:p>
    <w:p>
      <w:pPr>
        <w:pStyle w:val="TextBody"/>
        <w:ind w:firstLine="400"/>
        <w:rPr/>
      </w:pPr>
      <w:r>
        <w:rPr>
          <w:color w:val="000000"/>
          <w:sz w:val="24"/>
        </w:rPr>
        <w:t>（四）债券单笔交易数量不低于</w:t>
      </w:r>
      <w:r>
        <w:rPr>
          <w:color w:val="000000"/>
          <w:sz w:val="24"/>
        </w:rPr>
        <w:t>5</w:t>
      </w:r>
      <w:r>
        <w:rPr>
          <w:color w:val="000000"/>
          <w:sz w:val="24"/>
        </w:rPr>
        <w:t>千张，或者交易金额不低于</w:t>
      </w:r>
      <w:r>
        <w:rPr>
          <w:color w:val="000000"/>
          <w:sz w:val="24"/>
        </w:rPr>
        <w:t>50</w:t>
      </w:r>
      <w:r>
        <w:rPr>
          <w:color w:val="000000"/>
          <w:sz w:val="24"/>
        </w:rPr>
        <w:t>万元人民币。本所可以根据市场需要，调整大宗交易的最低限额。</w:t>
      </w:r>
    </w:p>
    <w:p>
      <w:pPr>
        <w:pStyle w:val="标题 3"/>
        <w:spacing w:before="100" w:after="100"/>
        <w:rPr/>
      </w:pPr>
      <w:r>
        <w:rPr>
          <w:b w:val="true"/>
          <w:color w:val="000000"/>
          <w:sz w:val="28"/>
        </w:rPr>
        <w:t>3.6.2</w:t>
      </w:r>
    </w:p>
    <w:p>
      <w:pPr>
        <w:pStyle w:val="TextBody"/>
        <w:ind w:firstLine="400"/>
        <w:rPr/>
      </w:pPr>
      <w:r>
        <w:rPr>
          <w:color w:val="000000"/>
          <w:sz w:val="24"/>
        </w:rPr>
        <w:t>本所大宗交易采用协议大宗交易和盘后定价大宗交易方式。</w:t>
      </w:r>
    </w:p>
    <w:p>
      <w:pPr>
        <w:pStyle w:val="TextBody"/>
        <w:ind w:firstLine="400"/>
        <w:rPr/>
      </w:pPr>
      <w:r>
        <w:rPr>
          <w:color w:val="000000"/>
          <w:sz w:val="24"/>
        </w:rPr>
        <w:t>协议大宗交易，是指大宗交易双方互为指定交易对手方，协商确定交易价格及数量的交易方式。</w:t>
      </w:r>
    </w:p>
    <w:p>
      <w:pPr>
        <w:pStyle w:val="TextBody"/>
        <w:ind w:firstLine="400"/>
        <w:rPr/>
      </w:pPr>
      <w:r>
        <w:rPr>
          <w:color w:val="000000"/>
          <w:sz w:val="24"/>
        </w:rPr>
        <w:t>盘后定价大宗交易，是指证券交易收盘后按照时间优先的原则，以证券当日收盘价或证券当日成交量加权平均价格对大宗交易买卖申报逐笔连续撮合的交易方式。</w:t>
      </w:r>
    </w:p>
    <w:p>
      <w:pPr>
        <w:pStyle w:val="标题 3"/>
        <w:spacing w:before="100" w:after="100"/>
        <w:rPr/>
      </w:pPr>
      <w:r>
        <w:rPr>
          <w:b w:val="true"/>
          <w:color w:val="000000"/>
          <w:sz w:val="28"/>
        </w:rPr>
        <w:t>3.6.3</w:t>
      </w:r>
    </w:p>
    <w:p>
      <w:pPr>
        <w:pStyle w:val="TextBody"/>
        <w:ind w:firstLine="400"/>
        <w:rPr/>
      </w:pPr>
      <w:r>
        <w:rPr>
          <w:color w:val="000000"/>
          <w:sz w:val="24"/>
        </w:rPr>
        <w:t>采用协议大宗交易方式的，本所接受申报的时间为每个交易日</w:t>
      </w:r>
      <w:r>
        <w:rPr>
          <w:color w:val="000000"/>
          <w:sz w:val="24"/>
        </w:rPr>
        <w:t>9:15</w:t>
      </w:r>
      <w:r>
        <w:rPr>
          <w:color w:val="000000"/>
          <w:sz w:val="24"/>
        </w:rPr>
        <w:t>至</w:t>
      </w:r>
      <w:r>
        <w:rPr>
          <w:color w:val="000000"/>
          <w:sz w:val="24"/>
        </w:rPr>
        <w:t>11:30</w:t>
      </w:r>
      <w:r>
        <w:rPr>
          <w:color w:val="000000"/>
          <w:sz w:val="24"/>
        </w:rPr>
        <w:t>、</w:t>
      </w:r>
      <w:r>
        <w:rPr>
          <w:color w:val="000000"/>
          <w:sz w:val="24"/>
        </w:rPr>
        <w:t>13:00</w:t>
      </w:r>
      <w:r>
        <w:rPr>
          <w:color w:val="000000"/>
          <w:sz w:val="24"/>
        </w:rPr>
        <w:t>至</w:t>
      </w:r>
      <w:r>
        <w:rPr>
          <w:color w:val="000000"/>
          <w:sz w:val="24"/>
        </w:rPr>
        <w:t>15:30</w:t>
      </w:r>
      <w:r>
        <w:rPr>
          <w:color w:val="000000"/>
          <w:sz w:val="24"/>
        </w:rPr>
        <w:t>。</w:t>
      </w:r>
    </w:p>
    <w:p>
      <w:pPr>
        <w:pStyle w:val="TextBody"/>
        <w:ind w:firstLine="400"/>
        <w:rPr/>
      </w:pPr>
      <w:r>
        <w:rPr>
          <w:color w:val="000000"/>
          <w:sz w:val="24"/>
        </w:rPr>
        <w:t>采用盘后定价大宗交易方式的，本所接受申报的时间为每个交易日</w:t>
      </w:r>
      <w:r>
        <w:rPr>
          <w:color w:val="000000"/>
          <w:sz w:val="24"/>
        </w:rPr>
        <w:t>15:05</w:t>
      </w:r>
      <w:r>
        <w:rPr>
          <w:color w:val="000000"/>
          <w:sz w:val="24"/>
        </w:rPr>
        <w:t>至</w:t>
      </w:r>
      <w:r>
        <w:rPr>
          <w:color w:val="000000"/>
          <w:sz w:val="24"/>
        </w:rPr>
        <w:t>15:30</w:t>
      </w:r>
      <w:r>
        <w:rPr>
          <w:color w:val="000000"/>
          <w:sz w:val="24"/>
        </w:rPr>
        <w:t>。</w:t>
      </w:r>
    </w:p>
    <w:p>
      <w:pPr>
        <w:pStyle w:val="TextBody"/>
        <w:ind w:firstLine="400"/>
        <w:rPr/>
      </w:pPr>
      <w:r>
        <w:rPr>
          <w:color w:val="000000"/>
          <w:sz w:val="24"/>
        </w:rPr>
        <w:t>当天全天停牌、处于临时停牌期间或停牌至收市的证券，本所不接受其协议大宗交易申报。</w:t>
      </w:r>
    </w:p>
    <w:p>
      <w:pPr>
        <w:pStyle w:val="TextBody"/>
        <w:ind w:firstLine="400"/>
        <w:rPr/>
      </w:pPr>
      <w:r>
        <w:rPr>
          <w:color w:val="000000"/>
          <w:sz w:val="24"/>
        </w:rPr>
        <w:t>当天全天停牌或停牌至收市的证券，本所不接受其盘后定价大宗交易申报。</w:t>
      </w:r>
    </w:p>
    <w:p>
      <w:pPr>
        <w:pStyle w:val="标题 3"/>
        <w:spacing w:before="100" w:after="100"/>
        <w:rPr/>
      </w:pPr>
      <w:r>
        <w:rPr>
          <w:b w:val="true"/>
          <w:color w:val="000000"/>
          <w:sz w:val="28"/>
        </w:rPr>
        <w:t>3.6.4</w:t>
      </w:r>
    </w:p>
    <w:p>
      <w:pPr>
        <w:pStyle w:val="TextBody"/>
        <w:ind w:firstLine="400"/>
        <w:rPr/>
      </w:pPr>
      <w:r>
        <w:rPr>
          <w:color w:val="000000"/>
          <w:sz w:val="24"/>
        </w:rPr>
        <w:t>有价格涨跌幅限制证券的协议大宗交易的成交价格，在该证券当日涨跌幅限制价格范围内确定。</w:t>
      </w:r>
    </w:p>
    <w:p>
      <w:pPr>
        <w:pStyle w:val="TextBody"/>
        <w:ind w:firstLine="400"/>
        <w:rPr/>
      </w:pPr>
      <w:r>
        <w:rPr>
          <w:color w:val="000000"/>
          <w:sz w:val="24"/>
        </w:rPr>
        <w:t>无价格涨跌幅限制证券的协议大宗交易的成交价格，在前收盘价的上下</w:t>
      </w:r>
      <w:r>
        <w:rPr>
          <w:color w:val="000000"/>
          <w:sz w:val="24"/>
        </w:rPr>
        <w:t>30%</w:t>
      </w:r>
      <w:r>
        <w:rPr>
          <w:color w:val="000000"/>
          <w:sz w:val="24"/>
        </w:rPr>
        <w:t>之间确定。</w:t>
      </w:r>
    </w:p>
    <w:p>
      <w:pPr>
        <w:pStyle w:val="标题 3"/>
        <w:spacing w:before="100" w:after="100"/>
        <w:rPr/>
      </w:pPr>
      <w:r>
        <w:rPr>
          <w:b w:val="true"/>
          <w:color w:val="000000"/>
          <w:sz w:val="28"/>
        </w:rPr>
        <w:t>3.6.5</w:t>
      </w:r>
    </w:p>
    <w:p>
      <w:pPr>
        <w:pStyle w:val="TextBody"/>
        <w:ind w:firstLine="400"/>
        <w:rPr/>
      </w:pPr>
      <w:r>
        <w:rPr>
          <w:color w:val="000000"/>
          <w:sz w:val="24"/>
        </w:rPr>
        <w:t>本所接受下列类型的协议大宗交易申报：</w:t>
      </w:r>
    </w:p>
    <w:p>
      <w:pPr>
        <w:pStyle w:val="TextBody"/>
        <w:ind w:firstLine="400"/>
        <w:rPr/>
      </w:pPr>
      <w:r>
        <w:rPr>
          <w:color w:val="000000"/>
          <w:sz w:val="24"/>
        </w:rPr>
        <w:t>（一）意向申报；</w:t>
      </w:r>
    </w:p>
    <w:p>
      <w:pPr>
        <w:pStyle w:val="TextBody"/>
        <w:ind w:firstLine="400"/>
        <w:rPr/>
      </w:pPr>
      <w:r>
        <w:rPr>
          <w:color w:val="000000"/>
          <w:sz w:val="24"/>
        </w:rPr>
        <w:t>（二）成交申报；</w:t>
      </w:r>
    </w:p>
    <w:p>
      <w:pPr>
        <w:pStyle w:val="TextBody"/>
        <w:ind w:firstLine="400"/>
        <w:rPr/>
      </w:pPr>
      <w:r>
        <w:rPr>
          <w:color w:val="000000"/>
          <w:sz w:val="24"/>
        </w:rPr>
        <w:t>（三）定价申报；</w:t>
      </w:r>
    </w:p>
    <w:p>
      <w:pPr>
        <w:pStyle w:val="TextBody"/>
        <w:ind w:firstLine="400"/>
        <w:rPr/>
      </w:pPr>
      <w:r>
        <w:rPr>
          <w:color w:val="000000"/>
          <w:sz w:val="24"/>
        </w:rPr>
        <w:t>（四）其他申报。</w:t>
      </w:r>
    </w:p>
    <w:p>
      <w:pPr>
        <w:pStyle w:val="标题 3"/>
        <w:spacing w:before="100" w:after="100"/>
        <w:rPr/>
      </w:pPr>
      <w:r>
        <w:rPr>
          <w:b w:val="true"/>
          <w:color w:val="000000"/>
          <w:sz w:val="28"/>
        </w:rPr>
        <w:t>3.6.6</w:t>
      </w:r>
    </w:p>
    <w:p>
      <w:pPr>
        <w:pStyle w:val="TextBody"/>
        <w:ind w:firstLine="400"/>
        <w:rPr/>
      </w:pPr>
      <w:r>
        <w:rPr>
          <w:color w:val="000000"/>
          <w:sz w:val="24"/>
        </w:rPr>
        <w:t>协议大宗交易意向申报指令应当包括证券账户号码、证券代码、买卖方向和本方交易单元代码等内容。意向申报不承担成交义务，意向申报指令可以撤销。</w:t>
      </w:r>
    </w:p>
    <w:p>
      <w:pPr>
        <w:pStyle w:val="TextBody"/>
        <w:ind w:firstLine="400"/>
        <w:rPr/>
      </w:pPr>
      <w:r>
        <w:rPr>
          <w:color w:val="000000"/>
          <w:sz w:val="24"/>
        </w:rPr>
        <w:t>协议大宗交易成交申报指令应当包括证券账户号码、证券代码、买卖方向、价格、数量、对手方交易单元代码、约定号等内容。成交申报要求明确指定价格和数量。成交申报可以撤销，但在对手方提交匹配的申报后不得撤销。本所对约定号、证券代码、买卖方向、价格、数量等各项要素均匹配的成交申报进行成交确认。</w:t>
      </w:r>
    </w:p>
    <w:p>
      <w:pPr>
        <w:pStyle w:val="TextBody"/>
        <w:ind w:firstLine="400"/>
        <w:rPr/>
      </w:pPr>
      <w:r>
        <w:rPr>
          <w:color w:val="000000"/>
          <w:sz w:val="24"/>
        </w:rPr>
        <w:t>协议大宗交易定价申报指令应当包括证券账户号码、证券代码、买卖方向、价格、数量和本方交易单元代码等内容。市场所有参与者可以提交成交申报，按指定的价格与定价申报全部或部分成交，本所按时间优先顺序进行成交确认。定价申报的未成交部分可以撤销。定价申报每笔成交的数量或交易金额，应当满足协议大宗交易最低限额的要求。</w:t>
      </w:r>
    </w:p>
    <w:p>
      <w:pPr>
        <w:pStyle w:val="标题 3"/>
        <w:spacing w:before="100" w:after="100"/>
        <w:rPr/>
      </w:pPr>
      <w:r>
        <w:rPr>
          <w:b w:val="true"/>
          <w:color w:val="000000"/>
          <w:sz w:val="28"/>
        </w:rPr>
        <w:t>3.6.7</w:t>
      </w:r>
    </w:p>
    <w:p>
      <w:pPr>
        <w:pStyle w:val="TextBody"/>
        <w:ind w:firstLine="400"/>
        <w:rPr/>
      </w:pPr>
      <w:r>
        <w:rPr>
          <w:color w:val="000000"/>
          <w:sz w:val="24"/>
        </w:rPr>
        <w:t>权益类证券协议大宗交易的成交确认时间为每个交易日</w:t>
      </w:r>
      <w:r>
        <w:rPr>
          <w:color w:val="000000"/>
          <w:sz w:val="24"/>
        </w:rPr>
        <w:t>15:00</w:t>
      </w:r>
      <w:r>
        <w:rPr>
          <w:color w:val="000000"/>
          <w:sz w:val="24"/>
        </w:rPr>
        <w:t>至</w:t>
      </w:r>
      <w:r>
        <w:rPr>
          <w:color w:val="000000"/>
          <w:sz w:val="24"/>
        </w:rPr>
        <w:t>15:30</w:t>
      </w:r>
      <w:r>
        <w:rPr>
          <w:color w:val="000000"/>
          <w:sz w:val="24"/>
        </w:rPr>
        <w:t>；债券协议大宗交易的成交确认时间为每个交易日</w:t>
      </w:r>
      <w:r>
        <w:rPr>
          <w:color w:val="000000"/>
          <w:sz w:val="24"/>
        </w:rPr>
        <w:t>9:15</w:t>
      </w:r>
      <w:r>
        <w:rPr>
          <w:color w:val="000000"/>
          <w:sz w:val="24"/>
        </w:rPr>
        <w:t>至</w:t>
      </w:r>
      <w:r>
        <w:rPr>
          <w:color w:val="000000"/>
          <w:sz w:val="24"/>
        </w:rPr>
        <w:t>11:30</w:t>
      </w:r>
      <w:r>
        <w:rPr>
          <w:color w:val="000000"/>
          <w:sz w:val="24"/>
        </w:rPr>
        <w:t>、</w:t>
      </w:r>
      <w:r>
        <w:rPr>
          <w:color w:val="000000"/>
          <w:sz w:val="24"/>
        </w:rPr>
        <w:t>13:00</w:t>
      </w:r>
      <w:r>
        <w:rPr>
          <w:color w:val="000000"/>
          <w:sz w:val="24"/>
        </w:rPr>
        <w:t>至</w:t>
      </w:r>
      <w:r>
        <w:rPr>
          <w:color w:val="000000"/>
          <w:sz w:val="24"/>
        </w:rPr>
        <w:t>15:30</w:t>
      </w:r>
      <w:r>
        <w:rPr>
          <w:color w:val="000000"/>
          <w:sz w:val="24"/>
        </w:rPr>
        <w:t>。</w:t>
      </w:r>
    </w:p>
    <w:p>
      <w:pPr>
        <w:pStyle w:val="标题 3"/>
        <w:spacing w:before="100" w:after="100"/>
        <w:rPr/>
      </w:pPr>
      <w:r>
        <w:rPr>
          <w:b w:val="true"/>
          <w:color w:val="000000"/>
          <w:sz w:val="28"/>
        </w:rPr>
        <w:t>3.6.8</w:t>
      </w:r>
    </w:p>
    <w:p>
      <w:pPr>
        <w:pStyle w:val="TextBody"/>
        <w:ind w:firstLine="400"/>
        <w:rPr/>
      </w:pPr>
      <w:r>
        <w:rPr>
          <w:color w:val="000000"/>
          <w:sz w:val="24"/>
        </w:rPr>
        <w:t>盘后定价大宗交易的申报指令应当包括证券账户号码、证券代码、交易单元代码、证券营业部识别码、买卖方向、数量、价格类型等内容。</w:t>
      </w:r>
    </w:p>
    <w:p>
      <w:pPr>
        <w:pStyle w:val="TextBody"/>
        <w:ind w:firstLine="400"/>
        <w:rPr/>
      </w:pPr>
      <w:r>
        <w:rPr>
          <w:color w:val="000000"/>
          <w:sz w:val="24"/>
        </w:rPr>
        <w:t>盘后定价大宗交易的价格类型包括：</w:t>
      </w:r>
    </w:p>
    <w:p>
      <w:pPr>
        <w:pStyle w:val="TextBody"/>
        <w:ind w:firstLine="400"/>
        <w:rPr/>
      </w:pPr>
      <w:r>
        <w:rPr>
          <w:color w:val="000000"/>
          <w:sz w:val="24"/>
        </w:rPr>
        <w:t>（一）证券当日收盘价；</w:t>
      </w:r>
    </w:p>
    <w:p>
      <w:pPr>
        <w:pStyle w:val="TextBody"/>
        <w:ind w:firstLine="400"/>
        <w:rPr/>
      </w:pPr>
      <w:r>
        <w:rPr>
          <w:color w:val="000000"/>
          <w:sz w:val="24"/>
        </w:rPr>
        <w:t>（二）证券当日成交量加权平均价格。在接受申报的时间内，未成交申报可以撤销。</w:t>
      </w:r>
    </w:p>
    <w:p>
      <w:pPr>
        <w:pStyle w:val="标题 3"/>
        <w:spacing w:before="100" w:after="100"/>
        <w:rPr/>
      </w:pPr>
      <w:r>
        <w:rPr>
          <w:b w:val="true"/>
          <w:color w:val="000000"/>
          <w:sz w:val="28"/>
        </w:rPr>
        <w:t>3.6.9</w:t>
      </w:r>
    </w:p>
    <w:p>
      <w:pPr>
        <w:pStyle w:val="TextBody"/>
        <w:ind w:firstLine="400"/>
        <w:rPr/>
      </w:pPr>
      <w:r>
        <w:rPr>
          <w:color w:val="000000"/>
          <w:sz w:val="24"/>
        </w:rPr>
        <w:t>本所在交易时间内通过交易系统或交易所网站即时公布以下交易信息：</w:t>
      </w:r>
    </w:p>
    <w:p>
      <w:pPr>
        <w:pStyle w:val="TextBody"/>
        <w:ind w:firstLine="400"/>
        <w:rPr/>
      </w:pPr>
      <w:r>
        <w:rPr>
          <w:color w:val="000000"/>
          <w:sz w:val="24"/>
        </w:rPr>
        <w:t>（一）债券协议大宗交易的报价信息，内容包括：证券代码、证券简称、申报类型、买卖方向、数量、价格等；债券协议大宗交易的成交信息，内容包括：证券代码、证券简称、当日最新价、当日最高价、当日最低价、总成交数量、总成交金额、总成交笔数等；</w:t>
      </w:r>
    </w:p>
    <w:p>
      <w:pPr>
        <w:pStyle w:val="TextBody"/>
        <w:ind w:firstLine="400"/>
        <w:rPr/>
      </w:pPr>
      <w:r>
        <w:rPr>
          <w:color w:val="000000"/>
          <w:sz w:val="24"/>
        </w:rPr>
        <w:t>（二）盘后定价大宗交易的交易信息，内容包括：证券代码、证券简称、价格、当日累计成交数量、当日累计成交金额以及实时买入或卖出的申报数量等。</w:t>
      </w:r>
    </w:p>
    <w:p>
      <w:pPr>
        <w:pStyle w:val="标题 3"/>
        <w:spacing w:before="100" w:after="100"/>
        <w:rPr/>
      </w:pPr>
      <w:r>
        <w:rPr>
          <w:b w:val="true"/>
          <w:color w:val="000000"/>
          <w:sz w:val="28"/>
        </w:rPr>
        <w:t>3.6.10</w:t>
      </w:r>
    </w:p>
    <w:p>
      <w:pPr>
        <w:pStyle w:val="TextBody"/>
        <w:ind w:firstLine="400"/>
        <w:rPr/>
      </w:pPr>
      <w:r>
        <w:rPr>
          <w:color w:val="000000"/>
          <w:sz w:val="24"/>
        </w:rPr>
        <w:t>本所在每个交易日结束后通过交易所网站公布以下交易信息：</w:t>
      </w:r>
    </w:p>
    <w:p>
      <w:pPr>
        <w:pStyle w:val="TextBody"/>
        <w:ind w:firstLine="400"/>
        <w:rPr/>
      </w:pPr>
      <w:r>
        <w:rPr>
          <w:color w:val="000000"/>
          <w:sz w:val="24"/>
        </w:rPr>
        <w:t>（一）协议大宗交易的每笔成交信息，内容包括：证券代码、证券简称、成交量、成交价格以及买卖双方所在会员证券营业部或交易单元的名称；</w:t>
      </w:r>
    </w:p>
    <w:p>
      <w:pPr>
        <w:pStyle w:val="TextBody"/>
        <w:ind w:firstLine="400"/>
        <w:rPr/>
      </w:pPr>
      <w:r>
        <w:rPr>
          <w:color w:val="000000"/>
          <w:sz w:val="24"/>
        </w:rPr>
        <w:t>（二）单只证券盘后定价大宗交易的累计成交量、累计成交金额，及该证券当日买入、卖出金额最大五家会员证券营业部或交易单元的名称和各自的买入、卖出金额；</w:t>
      </w:r>
    </w:p>
    <w:p>
      <w:pPr>
        <w:pStyle w:val="TextBody"/>
        <w:ind w:firstLine="400"/>
        <w:rPr/>
      </w:pPr>
      <w:r>
        <w:rPr>
          <w:color w:val="000000"/>
          <w:sz w:val="24"/>
        </w:rPr>
        <w:t>（三）单只证券大宗交易的累计成交量、累计成交金额，及该证券当日买入、卖出金额最大五家会员证券营业部或交易单元的名称和各自的买入、卖出金额。</w:t>
      </w:r>
    </w:p>
    <w:p>
      <w:pPr>
        <w:pStyle w:val="标题 3"/>
        <w:spacing w:before="100" w:after="100"/>
        <w:rPr/>
      </w:pPr>
      <w:r>
        <w:rPr>
          <w:b w:val="true"/>
          <w:color w:val="000000"/>
          <w:sz w:val="28"/>
        </w:rPr>
        <w:t>3.6.11</w:t>
      </w:r>
    </w:p>
    <w:p>
      <w:pPr>
        <w:pStyle w:val="TextBody"/>
        <w:ind w:firstLine="400"/>
        <w:rPr/>
      </w:pPr>
      <w:r>
        <w:rPr>
          <w:color w:val="000000"/>
          <w:sz w:val="24"/>
        </w:rPr>
        <w:t>大宗交易不纳入本所即时行情和指数的计算，成交量在大宗交易结束后计入当日该证券成交总量。</w:t>
      </w:r>
    </w:p>
    <w:p>
      <w:pPr>
        <w:pStyle w:val="标题 3"/>
        <w:spacing w:before="100" w:after="100"/>
        <w:rPr/>
      </w:pPr>
      <w:r>
        <w:rPr>
          <w:b w:val="true"/>
          <w:color w:val="000000"/>
          <w:sz w:val="28"/>
        </w:rPr>
        <w:t>3.6.12</w:t>
      </w:r>
    </w:p>
    <w:p>
      <w:pPr>
        <w:pStyle w:val="TextBody"/>
        <w:ind w:firstLine="400"/>
        <w:rPr/>
      </w:pPr>
      <w:r>
        <w:rPr>
          <w:color w:val="000000"/>
          <w:sz w:val="24"/>
        </w:rPr>
        <w:t>会员应当保证大宗交易参与者实际拥有与交易申报相对应的证券或资金。</w:t>
      </w:r>
    </w:p>
    <w:p>
      <w:pPr>
        <w:pStyle w:val="标题 4"/>
        <w:spacing w:before="100" w:after="100"/>
        <w:rPr/>
      </w:pPr>
      <w:r>
        <w:rPr>
          <w:b w:val="true"/>
          <w:color w:val="000000"/>
          <w:sz w:val="24"/>
        </w:rPr>
        <w:t>第七节 融资融券交易</w:t>
      </w:r>
    </w:p>
    <w:p>
      <w:pPr>
        <w:pStyle w:val="标题 3"/>
        <w:spacing w:before="100" w:after="100"/>
        <w:rPr/>
      </w:pPr>
      <w:r>
        <w:rPr>
          <w:b w:val="true"/>
          <w:color w:val="000000"/>
          <w:sz w:val="28"/>
        </w:rPr>
        <w:t>3.7.1</w:t>
      </w:r>
    </w:p>
    <w:p>
      <w:pPr>
        <w:pStyle w:val="TextBody"/>
        <w:ind w:firstLine="400"/>
        <w:rPr/>
      </w:pPr>
      <w:r>
        <w:rPr>
          <w:color w:val="000000"/>
          <w:sz w:val="24"/>
        </w:rPr>
        <w:t>融资融券交易，是指投资者向会员提供担保物，借入资金买入证券或借入证券并卖出的行为。</w:t>
      </w:r>
    </w:p>
    <w:p>
      <w:pPr>
        <w:pStyle w:val="标题 3"/>
        <w:spacing w:before="100" w:after="100"/>
        <w:rPr/>
      </w:pPr>
      <w:r>
        <w:rPr>
          <w:b w:val="true"/>
          <w:color w:val="000000"/>
          <w:sz w:val="28"/>
        </w:rPr>
        <w:t>3.7.2</w:t>
      </w:r>
    </w:p>
    <w:p>
      <w:pPr>
        <w:pStyle w:val="TextBody"/>
        <w:ind w:firstLine="400"/>
        <w:rPr/>
      </w:pPr>
      <w:r>
        <w:rPr>
          <w:color w:val="000000"/>
          <w:sz w:val="24"/>
        </w:rPr>
        <w:t>会员参与本所融资融券交易，应当向本所申请融资融券交易权限，并通过融资融券专用交易单元进行。</w:t>
      </w:r>
    </w:p>
    <w:p>
      <w:pPr>
        <w:pStyle w:val="标题 3"/>
        <w:spacing w:before="100" w:after="100"/>
        <w:rPr/>
      </w:pPr>
      <w:r>
        <w:rPr>
          <w:b w:val="true"/>
          <w:color w:val="000000"/>
          <w:sz w:val="28"/>
        </w:rPr>
        <w:t>3.7.3</w:t>
      </w:r>
    </w:p>
    <w:p>
      <w:pPr>
        <w:pStyle w:val="TextBody"/>
        <w:ind w:firstLine="400"/>
        <w:rPr/>
      </w:pPr>
      <w:r>
        <w:rPr>
          <w:color w:val="000000"/>
          <w:sz w:val="24"/>
        </w:rPr>
        <w:t>投资者进行融资融券交易，应当按照规定开立信用证券账户。信用证券账户的开立和注销，根据会员和本所指定登记结算机构的有关规定办理。</w:t>
      </w:r>
    </w:p>
    <w:p>
      <w:pPr>
        <w:pStyle w:val="标题 3"/>
        <w:spacing w:before="100" w:after="100"/>
        <w:rPr/>
      </w:pPr>
      <w:r>
        <w:rPr>
          <w:b w:val="true"/>
          <w:color w:val="000000"/>
          <w:sz w:val="28"/>
        </w:rPr>
        <w:t>3.7.4</w:t>
      </w:r>
    </w:p>
    <w:p>
      <w:pPr>
        <w:pStyle w:val="TextBody"/>
        <w:ind w:firstLine="400"/>
        <w:rPr/>
      </w:pPr>
      <w:r>
        <w:rPr>
          <w:color w:val="000000"/>
          <w:sz w:val="24"/>
        </w:rPr>
        <w:t>本所对融资融券交易的下列事项作出规定：</w:t>
      </w:r>
    </w:p>
    <w:p>
      <w:pPr>
        <w:pStyle w:val="TextBody"/>
        <w:ind w:firstLine="400"/>
        <w:rPr/>
      </w:pPr>
      <w:r>
        <w:rPr>
          <w:color w:val="000000"/>
          <w:sz w:val="24"/>
        </w:rPr>
        <w:t>（一）交易业务流程；</w:t>
      </w:r>
    </w:p>
    <w:p>
      <w:pPr>
        <w:pStyle w:val="TextBody"/>
        <w:ind w:firstLine="400"/>
        <w:rPr/>
      </w:pPr>
      <w:r>
        <w:rPr>
          <w:color w:val="000000"/>
          <w:sz w:val="24"/>
        </w:rPr>
        <w:t>（二）可用于融资买入和融券卖出的证券；</w:t>
      </w:r>
    </w:p>
    <w:p>
      <w:pPr>
        <w:pStyle w:val="TextBody"/>
        <w:ind w:firstLine="400"/>
        <w:rPr/>
      </w:pPr>
      <w:r>
        <w:rPr>
          <w:color w:val="000000"/>
          <w:sz w:val="24"/>
        </w:rPr>
        <w:t>（三）可充抵保证金证券的种类和最高折算率；</w:t>
      </w:r>
    </w:p>
    <w:p>
      <w:pPr>
        <w:pStyle w:val="TextBody"/>
        <w:ind w:firstLine="400"/>
        <w:rPr/>
      </w:pPr>
      <w:r>
        <w:rPr>
          <w:color w:val="000000"/>
          <w:sz w:val="24"/>
        </w:rPr>
        <w:t>（四）融资融券的最长期限；</w:t>
      </w:r>
    </w:p>
    <w:p>
      <w:pPr>
        <w:pStyle w:val="TextBody"/>
        <w:ind w:firstLine="400"/>
        <w:rPr/>
      </w:pPr>
      <w:r>
        <w:rPr>
          <w:color w:val="000000"/>
          <w:sz w:val="24"/>
        </w:rPr>
        <w:t>（五）初始保证金比例及最低维持担保比例；</w:t>
      </w:r>
    </w:p>
    <w:p>
      <w:pPr>
        <w:pStyle w:val="TextBody"/>
        <w:ind w:firstLine="400"/>
        <w:rPr/>
      </w:pPr>
      <w:r>
        <w:rPr>
          <w:color w:val="000000"/>
          <w:sz w:val="24"/>
        </w:rPr>
        <w:t>（六）信息披露与报告制度；</w:t>
      </w:r>
    </w:p>
    <w:p>
      <w:pPr>
        <w:pStyle w:val="TextBody"/>
        <w:ind w:firstLine="400"/>
        <w:rPr/>
      </w:pPr>
      <w:r>
        <w:rPr>
          <w:color w:val="000000"/>
          <w:sz w:val="24"/>
        </w:rPr>
        <w:t>（七）市场风险控制措施；</w:t>
      </w:r>
    </w:p>
    <w:p>
      <w:pPr>
        <w:pStyle w:val="TextBody"/>
        <w:ind w:firstLine="400"/>
        <w:rPr/>
      </w:pPr>
      <w:r>
        <w:rPr>
          <w:color w:val="000000"/>
          <w:sz w:val="24"/>
        </w:rPr>
        <w:t>（八）其他事项。</w:t>
      </w:r>
    </w:p>
    <w:p>
      <w:pPr>
        <w:pStyle w:val="标题 3"/>
        <w:spacing w:before="100" w:after="100"/>
        <w:rPr/>
      </w:pPr>
      <w:r>
        <w:rPr>
          <w:b w:val="true"/>
          <w:color w:val="000000"/>
          <w:sz w:val="28"/>
        </w:rPr>
        <w:t>3.7.5</w:t>
      </w:r>
    </w:p>
    <w:p>
      <w:pPr>
        <w:pStyle w:val="TextBody"/>
        <w:ind w:firstLine="400"/>
        <w:rPr/>
      </w:pPr>
      <w:r>
        <w:rPr>
          <w:color w:val="000000"/>
          <w:sz w:val="24"/>
        </w:rPr>
        <w:t>会员向投资者融资、融券前，应当与其签订融资融券合同，向其讲解融资融券业务规则和合同内容，并要求其签署风险揭示书。</w:t>
      </w:r>
    </w:p>
    <w:p>
      <w:pPr>
        <w:pStyle w:val="标题 3"/>
        <w:spacing w:before="100" w:after="100"/>
        <w:rPr/>
      </w:pPr>
      <w:r>
        <w:rPr>
          <w:b w:val="true"/>
          <w:color w:val="000000"/>
          <w:sz w:val="28"/>
        </w:rPr>
        <w:t>3.7.6</w:t>
      </w:r>
    </w:p>
    <w:p>
      <w:pPr>
        <w:pStyle w:val="TextBody"/>
        <w:ind w:firstLine="400"/>
        <w:rPr/>
      </w:pPr>
      <w:r>
        <w:rPr>
          <w:color w:val="000000"/>
          <w:sz w:val="24"/>
        </w:rPr>
        <w:t>融资融券交易活动出现异常，已经或者可能危及市场稳定的，本所认为必要时，可以暂停全部或部分证券的融资融券交易，并予以公告。</w:t>
      </w:r>
    </w:p>
    <w:p>
      <w:pPr>
        <w:pStyle w:val="标题 3"/>
        <w:spacing w:before="100" w:after="100"/>
        <w:rPr/>
      </w:pPr>
      <w:r>
        <w:rPr>
          <w:b w:val="true"/>
          <w:color w:val="000000"/>
          <w:sz w:val="28"/>
        </w:rPr>
        <w:t>3.7.7</w:t>
      </w:r>
    </w:p>
    <w:p>
      <w:pPr>
        <w:pStyle w:val="TextBody"/>
        <w:ind w:firstLine="400"/>
        <w:rPr/>
      </w:pPr>
      <w:r>
        <w:rPr>
          <w:color w:val="000000"/>
          <w:sz w:val="24"/>
        </w:rPr>
        <w:t>融资融券交易的具体规定，由本所另行制定，报证监会批准后生效。</w:t>
      </w:r>
    </w:p>
    <w:p>
      <w:pPr>
        <w:pStyle w:val="标题 4"/>
        <w:spacing w:before="100" w:after="100"/>
        <w:rPr/>
      </w:pPr>
      <w:r>
        <w:rPr>
          <w:b w:val="true"/>
          <w:color w:val="000000"/>
          <w:sz w:val="24"/>
        </w:rPr>
        <w:t>第八节 债券回购交易</w:t>
      </w:r>
    </w:p>
    <w:p>
      <w:pPr>
        <w:pStyle w:val="标题 3"/>
        <w:spacing w:before="100" w:after="100"/>
        <w:rPr/>
      </w:pPr>
      <w:r>
        <w:rPr>
          <w:b w:val="true"/>
          <w:color w:val="000000"/>
          <w:sz w:val="28"/>
        </w:rPr>
        <w:t>3.8.1</w:t>
      </w:r>
    </w:p>
    <w:p>
      <w:pPr>
        <w:pStyle w:val="TextBody"/>
        <w:ind w:firstLine="400"/>
        <w:rPr/>
      </w:pPr>
      <w:r>
        <w:rPr>
          <w:color w:val="000000"/>
          <w:sz w:val="24"/>
        </w:rPr>
        <w:t>债券回购交易采取质押式回购交易等方式。债券质押式回购交易，是指债券持有人在将债券质押并将相应债券以标准券折算比率计算出的标准券数量为融资额度向交易对手方进行质押融资的同时，交易双方约定在回购期满后返还资金和解除质押的交易。其中，质押债券取得资金的交易参与人为“融资方”；其对手方为“融券方”。</w:t>
      </w:r>
    </w:p>
    <w:p>
      <w:pPr>
        <w:pStyle w:val="标题 3"/>
        <w:spacing w:before="100" w:after="100"/>
        <w:rPr/>
      </w:pPr>
      <w:r>
        <w:rPr>
          <w:b w:val="true"/>
          <w:color w:val="000000"/>
          <w:sz w:val="28"/>
        </w:rPr>
        <w:t>3.8.2</w:t>
      </w:r>
    </w:p>
    <w:p>
      <w:pPr>
        <w:pStyle w:val="TextBody"/>
        <w:ind w:firstLine="400"/>
        <w:rPr/>
      </w:pPr>
      <w:r>
        <w:rPr>
          <w:color w:val="000000"/>
          <w:sz w:val="24"/>
        </w:rPr>
        <w:t>会员应当与参与债券质押式回购交易的投资者签订债券回购委托协议，并设立标准券明细账。</w:t>
      </w:r>
    </w:p>
    <w:p>
      <w:pPr>
        <w:pStyle w:val="TextBody"/>
        <w:ind w:firstLine="400"/>
        <w:rPr/>
      </w:pPr>
      <w:r>
        <w:rPr>
          <w:color w:val="000000"/>
          <w:sz w:val="24"/>
        </w:rPr>
        <w:t>标准券，是指可用于回购质押的债券品种按标准券折算比率折算形成的、可用于融资的额度。标准券折算比率，是指各债券现券品种所能折成的标准券金额与债券面值之比。</w:t>
      </w:r>
    </w:p>
    <w:p>
      <w:pPr>
        <w:pStyle w:val="TextBody"/>
        <w:ind w:firstLine="400"/>
        <w:rPr/>
      </w:pPr>
      <w:r>
        <w:rPr>
          <w:color w:val="000000"/>
          <w:sz w:val="24"/>
        </w:rPr>
        <w:t>标准券及标准券折算比率的具体规定，由本所指定登记结算机构制定。</w:t>
      </w:r>
    </w:p>
    <w:p>
      <w:pPr>
        <w:pStyle w:val="标题 3"/>
        <w:spacing w:before="100" w:after="100"/>
        <w:rPr/>
      </w:pPr>
      <w:r>
        <w:rPr>
          <w:b w:val="true"/>
          <w:color w:val="000000"/>
          <w:sz w:val="28"/>
        </w:rPr>
        <w:t>3.8.3</w:t>
      </w:r>
    </w:p>
    <w:p>
      <w:pPr>
        <w:pStyle w:val="TextBody"/>
        <w:ind w:firstLine="400"/>
        <w:rPr/>
      </w:pPr>
      <w:r>
        <w:rPr>
          <w:color w:val="000000"/>
          <w:sz w:val="24"/>
        </w:rPr>
        <w:t>债券回购交易申报中，融资方按“买入”方向进行申报，融券方按“卖出”方向进行申报。</w:t>
      </w:r>
    </w:p>
    <w:p>
      <w:pPr>
        <w:pStyle w:val="标题 3"/>
        <w:spacing w:before="100" w:after="100"/>
        <w:rPr/>
      </w:pPr>
      <w:r>
        <w:rPr>
          <w:b w:val="true"/>
          <w:color w:val="000000"/>
          <w:sz w:val="28"/>
        </w:rPr>
        <w:t>3.8.4</w:t>
      </w:r>
    </w:p>
    <w:p>
      <w:pPr>
        <w:pStyle w:val="TextBody"/>
        <w:ind w:firstLine="400"/>
        <w:rPr/>
      </w:pPr>
      <w:r>
        <w:rPr>
          <w:color w:val="000000"/>
          <w:sz w:val="24"/>
        </w:rPr>
        <w:t>本所债券回购按回购期限设立不同品种，并向市场公布。</w:t>
      </w:r>
    </w:p>
    <w:p>
      <w:pPr>
        <w:pStyle w:val="标题 3"/>
        <w:spacing w:before="100" w:after="100"/>
        <w:rPr/>
      </w:pPr>
      <w:r>
        <w:rPr>
          <w:b w:val="true"/>
          <w:color w:val="000000"/>
          <w:sz w:val="28"/>
        </w:rPr>
        <w:t>3.8.5</w:t>
      </w:r>
    </w:p>
    <w:p>
      <w:pPr>
        <w:pStyle w:val="TextBody"/>
        <w:ind w:firstLine="400"/>
        <w:rPr/>
      </w:pPr>
      <w:r>
        <w:rPr>
          <w:color w:val="000000"/>
          <w:sz w:val="24"/>
        </w:rPr>
        <w:t>债券质押式回购交易实行一次交易、两次结算。</w:t>
      </w:r>
    </w:p>
    <w:p>
      <w:pPr>
        <w:pStyle w:val="TextBody"/>
        <w:ind w:firstLine="400"/>
        <w:rPr/>
      </w:pPr>
      <w:r>
        <w:rPr>
          <w:color w:val="000000"/>
          <w:sz w:val="24"/>
        </w:rPr>
        <w:t>回购交易达成后，初次结算的结算价格为</w:t>
      </w:r>
      <w:r>
        <w:rPr>
          <w:color w:val="000000"/>
          <w:sz w:val="24"/>
        </w:rPr>
        <w:t>100</w:t>
      </w:r>
      <w:r>
        <w:rPr>
          <w:color w:val="000000"/>
          <w:sz w:val="24"/>
        </w:rPr>
        <w:t>元，回购到期二次结算的结算价格为购回价，购回价是指每百元资金的本金和利息之和。</w:t>
      </w:r>
    </w:p>
    <w:p>
      <w:pPr>
        <w:pStyle w:val="TextBody"/>
        <w:ind w:firstLine="400"/>
        <w:rPr/>
      </w:pPr>
      <w:r>
        <w:rPr>
          <w:color w:val="000000"/>
          <w:sz w:val="24"/>
        </w:rPr>
        <w:t>购回价的具体计算方法，由本所另行制定。</w:t>
      </w:r>
    </w:p>
    <w:p>
      <w:pPr>
        <w:pStyle w:val="Heading1"/>
        <w:rPr/>
      </w:pPr>
      <w:r>
        <w:rPr>
          <w:color w:val="000000"/>
          <w:sz w:val="24"/>
        </w:rPr>
        <w:t>第四章 其他交易事项</w:t>
      </w:r>
    </w:p>
    <w:p>
      <w:pPr>
        <w:pStyle w:val="标题 4"/>
        <w:spacing w:before="100" w:after="100"/>
        <w:rPr/>
      </w:pPr>
      <w:r>
        <w:rPr>
          <w:b w:val="true"/>
          <w:color w:val="000000"/>
          <w:sz w:val="24"/>
        </w:rPr>
        <w:t>第一节 转托管</w:t>
      </w:r>
    </w:p>
    <w:p>
      <w:pPr>
        <w:pStyle w:val="标题 3"/>
        <w:spacing w:before="100" w:after="100"/>
        <w:rPr/>
      </w:pPr>
      <w:r>
        <w:rPr>
          <w:b w:val="true"/>
          <w:color w:val="000000"/>
          <w:sz w:val="28"/>
        </w:rPr>
        <w:t>4.1.1</w:t>
      </w:r>
    </w:p>
    <w:p>
      <w:pPr>
        <w:pStyle w:val="TextBody"/>
        <w:ind w:firstLine="400"/>
        <w:rPr/>
      </w:pPr>
      <w:r>
        <w:rPr>
          <w:color w:val="000000"/>
          <w:sz w:val="24"/>
        </w:rPr>
        <w:t>投资者可以以同一证券账户在单个或多个会员的不同证券营业部买入证券。</w:t>
      </w:r>
    </w:p>
    <w:p>
      <w:pPr>
        <w:pStyle w:val="标题 3"/>
        <w:spacing w:before="100" w:after="100"/>
        <w:rPr/>
      </w:pPr>
      <w:r>
        <w:rPr>
          <w:b w:val="true"/>
          <w:color w:val="000000"/>
          <w:sz w:val="28"/>
        </w:rPr>
        <w:t>4.1.2</w:t>
      </w:r>
    </w:p>
    <w:p>
      <w:pPr>
        <w:pStyle w:val="TextBody"/>
        <w:ind w:firstLine="400"/>
        <w:rPr/>
      </w:pPr>
      <w:r>
        <w:rPr>
          <w:color w:val="000000"/>
          <w:sz w:val="24"/>
        </w:rPr>
        <w:t>投资者买入的证券可以通过原买入证券的交易单元委托卖出，也可以向原买入证券的交易单元发出转托管指令，转托管完成后，在转入的交易单元委托卖出。</w:t>
      </w:r>
    </w:p>
    <w:p>
      <w:pPr>
        <w:pStyle w:val="TextBody"/>
        <w:ind w:firstLine="400"/>
        <w:rPr/>
      </w:pPr>
      <w:r>
        <w:rPr>
          <w:color w:val="000000"/>
          <w:sz w:val="24"/>
        </w:rPr>
        <w:t>转托管的具体规定，由本所指定登记结算机构制定。</w:t>
      </w:r>
    </w:p>
    <w:p>
      <w:pPr>
        <w:pStyle w:val="标题 4"/>
        <w:spacing w:before="100" w:after="100"/>
        <w:rPr/>
      </w:pPr>
      <w:r>
        <w:rPr>
          <w:b w:val="true"/>
          <w:color w:val="000000"/>
          <w:sz w:val="24"/>
        </w:rPr>
        <w:t>第二节 开盘价与收盘价</w:t>
      </w:r>
    </w:p>
    <w:p>
      <w:pPr>
        <w:pStyle w:val="标题 3"/>
        <w:spacing w:before="100" w:after="100"/>
        <w:rPr/>
      </w:pPr>
      <w:r>
        <w:rPr>
          <w:b w:val="true"/>
          <w:color w:val="000000"/>
          <w:sz w:val="28"/>
        </w:rPr>
        <w:t>4.2.1</w:t>
      </w:r>
    </w:p>
    <w:p>
      <w:pPr>
        <w:pStyle w:val="TextBody"/>
        <w:ind w:firstLine="400"/>
        <w:rPr/>
      </w:pPr>
      <w:r>
        <w:rPr>
          <w:color w:val="000000"/>
          <w:sz w:val="24"/>
        </w:rPr>
        <w:t>证券的开盘价为当日该证券的第一笔成交价。</w:t>
      </w:r>
    </w:p>
    <w:p>
      <w:pPr>
        <w:pStyle w:val="标题 3"/>
        <w:spacing w:before="100" w:after="100"/>
        <w:rPr/>
      </w:pPr>
      <w:r>
        <w:rPr>
          <w:b w:val="true"/>
          <w:color w:val="000000"/>
          <w:sz w:val="28"/>
        </w:rPr>
        <w:t>4.2.2</w:t>
      </w:r>
    </w:p>
    <w:p>
      <w:pPr>
        <w:pStyle w:val="TextBody"/>
        <w:ind w:firstLine="400"/>
        <w:rPr/>
      </w:pPr>
      <w:r>
        <w:rPr>
          <w:color w:val="000000"/>
          <w:sz w:val="24"/>
        </w:rPr>
        <w:t>证券的开盘价通过集合竞价方式产生，不能通过集合竞价产生的，以连续竞价方式产生。</w:t>
      </w:r>
    </w:p>
    <w:p>
      <w:pPr>
        <w:pStyle w:val="标题 3"/>
        <w:spacing w:before="100" w:after="100"/>
        <w:rPr/>
      </w:pPr>
      <w:r>
        <w:rPr>
          <w:b w:val="true"/>
          <w:color w:val="000000"/>
          <w:sz w:val="28"/>
        </w:rPr>
        <w:t>4.2.3</w:t>
      </w:r>
    </w:p>
    <w:p>
      <w:pPr>
        <w:pStyle w:val="TextBody"/>
        <w:ind w:firstLine="400"/>
        <w:rPr/>
      </w:pPr>
      <w:r>
        <w:rPr>
          <w:color w:val="000000"/>
          <w:sz w:val="24"/>
        </w:rPr>
        <w:t>除本规则另有规定外，证券的收盘价通过集合竞价的方式产生。收盘集合竞价不能产生收盘价或未进行收盘集合竞价的，以当日该证券最后一笔交易前一分钟所有交易的成交量加权平均价（含最后一笔交易）为收盘价。</w:t>
      </w:r>
    </w:p>
    <w:p>
      <w:pPr>
        <w:pStyle w:val="TextBody"/>
        <w:ind w:firstLine="400"/>
        <w:rPr/>
      </w:pPr>
      <w:r>
        <w:rPr>
          <w:color w:val="000000"/>
          <w:sz w:val="24"/>
        </w:rPr>
        <w:t>债券仅采用协议大宗交易方式的，以当日该债券所有交易的成交量加权平均价为收盘价。</w:t>
      </w:r>
    </w:p>
    <w:p>
      <w:pPr>
        <w:pStyle w:val="TextBody"/>
        <w:ind w:firstLine="400"/>
        <w:rPr/>
      </w:pPr>
      <w:r>
        <w:rPr>
          <w:color w:val="000000"/>
          <w:sz w:val="24"/>
        </w:rPr>
        <w:t>当日无成交的，以前收盘价为当日收盘价。</w:t>
      </w:r>
    </w:p>
    <w:p>
      <w:pPr>
        <w:pStyle w:val="标题 4"/>
        <w:spacing w:before="100" w:after="100"/>
        <w:rPr/>
      </w:pPr>
      <w:r>
        <w:rPr>
          <w:b w:val="true"/>
          <w:color w:val="000000"/>
          <w:sz w:val="24"/>
        </w:rPr>
        <w:t>第三节 挂牌、摘牌、停牌与复牌</w:t>
      </w:r>
    </w:p>
    <w:p>
      <w:pPr>
        <w:pStyle w:val="标题 3"/>
        <w:spacing w:before="100" w:after="100"/>
        <w:rPr/>
      </w:pPr>
      <w:r>
        <w:rPr>
          <w:b w:val="true"/>
          <w:color w:val="000000"/>
          <w:sz w:val="28"/>
        </w:rPr>
        <w:t>4.3.1</w:t>
      </w:r>
    </w:p>
    <w:p>
      <w:pPr>
        <w:pStyle w:val="TextBody"/>
        <w:ind w:firstLine="400"/>
        <w:rPr/>
      </w:pPr>
      <w:r>
        <w:rPr>
          <w:color w:val="000000"/>
          <w:sz w:val="24"/>
        </w:rPr>
        <w:t>本所对上市证券实施挂牌交易。</w:t>
      </w:r>
    </w:p>
    <w:p>
      <w:pPr>
        <w:pStyle w:val="标题 3"/>
        <w:spacing w:before="100" w:after="100"/>
        <w:rPr/>
      </w:pPr>
      <w:r>
        <w:rPr>
          <w:b w:val="true"/>
          <w:color w:val="000000"/>
          <w:sz w:val="28"/>
        </w:rPr>
        <w:t>4.3.2</w:t>
      </w:r>
    </w:p>
    <w:p>
      <w:pPr>
        <w:pStyle w:val="TextBody"/>
        <w:ind w:firstLine="400"/>
        <w:rPr/>
      </w:pPr>
      <w:r>
        <w:rPr>
          <w:color w:val="000000"/>
          <w:sz w:val="24"/>
        </w:rPr>
        <w:t>证券上市期届满或依法不再具备上市条件的，本所终止其上市交易，予以摘牌。</w:t>
      </w:r>
    </w:p>
    <w:p>
      <w:pPr>
        <w:pStyle w:val="标题 3"/>
        <w:spacing w:before="100" w:after="100"/>
        <w:rPr/>
      </w:pPr>
      <w:r>
        <w:rPr>
          <w:b w:val="true"/>
          <w:color w:val="000000"/>
          <w:sz w:val="28"/>
        </w:rPr>
        <w:t>4.3.3</w:t>
      </w:r>
    </w:p>
    <w:p>
      <w:pPr>
        <w:pStyle w:val="TextBody"/>
        <w:ind w:firstLine="400"/>
        <w:rPr/>
      </w:pPr>
      <w:r>
        <w:rPr>
          <w:color w:val="000000"/>
          <w:sz w:val="24"/>
        </w:rPr>
        <w:t>证券交易出现第</w:t>
      </w:r>
      <w:r>
        <w:rPr>
          <w:color w:val="000000"/>
          <w:sz w:val="24"/>
        </w:rPr>
        <w:t>6.1</w:t>
      </w:r>
      <w:r>
        <w:rPr>
          <w:color w:val="000000"/>
          <w:sz w:val="24"/>
        </w:rPr>
        <w:t>条规定的异常交易行为或情形的，本所可以视情况对相关证券实施停牌，发布公告，并根据需要公布相关交易、股份和基金份额统计信息。有披露义务的当事人应当按照本所的要求及时公告。</w:t>
      </w:r>
    </w:p>
    <w:p>
      <w:pPr>
        <w:pStyle w:val="TextBody"/>
        <w:ind w:firstLine="400"/>
        <w:rPr/>
      </w:pPr>
      <w:r>
        <w:rPr>
          <w:color w:val="000000"/>
          <w:sz w:val="24"/>
        </w:rPr>
        <w:t>具体停牌及复牌的时间，以相关公告为准。</w:t>
      </w:r>
    </w:p>
    <w:p>
      <w:pPr>
        <w:pStyle w:val="标题 3"/>
        <w:spacing w:before="100" w:after="100"/>
        <w:rPr/>
      </w:pPr>
      <w:r>
        <w:rPr>
          <w:b w:val="true"/>
          <w:color w:val="000000"/>
          <w:sz w:val="28"/>
        </w:rPr>
        <w:t>4.3.4</w:t>
      </w:r>
    </w:p>
    <w:p>
      <w:pPr>
        <w:pStyle w:val="TextBody"/>
        <w:ind w:firstLine="400"/>
        <w:rPr/>
      </w:pPr>
      <w:r>
        <w:rPr>
          <w:color w:val="000000"/>
          <w:sz w:val="24"/>
        </w:rPr>
        <w:t>无价格涨跌幅限制股票交易出现下列情形的，本所可以对其实施盘中临时停牌措施：</w:t>
      </w:r>
    </w:p>
    <w:p>
      <w:pPr>
        <w:pStyle w:val="TextBody"/>
        <w:ind w:firstLine="400"/>
        <w:rPr/>
      </w:pPr>
      <w:r>
        <w:rPr>
          <w:color w:val="000000"/>
          <w:sz w:val="24"/>
        </w:rPr>
        <w:t>（一）盘中成交价较当日开盘价首次上涨或下跌达到或超过</w:t>
      </w:r>
      <w:r>
        <w:rPr>
          <w:color w:val="000000"/>
          <w:sz w:val="24"/>
        </w:rPr>
        <w:t>10%</w:t>
      </w:r>
      <w:r>
        <w:rPr>
          <w:color w:val="000000"/>
          <w:sz w:val="24"/>
        </w:rPr>
        <w:t>的，临时停牌时间为</w:t>
      </w:r>
      <w:r>
        <w:rPr>
          <w:color w:val="000000"/>
          <w:sz w:val="24"/>
        </w:rPr>
        <w:t>1</w:t>
      </w:r>
      <w:r>
        <w:rPr>
          <w:color w:val="000000"/>
          <w:sz w:val="24"/>
        </w:rPr>
        <w:t>小时；</w:t>
      </w:r>
    </w:p>
    <w:p>
      <w:pPr>
        <w:pStyle w:val="TextBody"/>
        <w:ind w:firstLine="400"/>
        <w:rPr/>
      </w:pPr>
      <w:r>
        <w:rPr>
          <w:color w:val="000000"/>
          <w:sz w:val="24"/>
        </w:rPr>
        <w:t>（二）盘中成交价较当日开盘价首次上涨或下跌达到或超过</w:t>
      </w:r>
      <w:r>
        <w:rPr>
          <w:color w:val="000000"/>
          <w:sz w:val="24"/>
        </w:rPr>
        <w:t>20%</w:t>
      </w:r>
      <w:r>
        <w:rPr>
          <w:color w:val="000000"/>
          <w:sz w:val="24"/>
        </w:rPr>
        <w:t>的，临时停牌至</w:t>
      </w:r>
      <w:r>
        <w:rPr>
          <w:color w:val="000000"/>
          <w:sz w:val="24"/>
        </w:rPr>
        <w:t>14:57</w:t>
      </w:r>
      <w:r>
        <w:rPr>
          <w:color w:val="000000"/>
          <w:sz w:val="24"/>
        </w:rPr>
        <w:t>；</w:t>
      </w:r>
    </w:p>
    <w:p>
      <w:pPr>
        <w:pStyle w:val="TextBody"/>
        <w:ind w:firstLine="400"/>
        <w:rPr/>
      </w:pPr>
      <w:r>
        <w:rPr>
          <w:color w:val="000000"/>
          <w:sz w:val="24"/>
        </w:rPr>
        <w:t>（三）盘中换手率达到或超过</w:t>
      </w:r>
      <w:r>
        <w:rPr>
          <w:color w:val="000000"/>
          <w:sz w:val="24"/>
        </w:rPr>
        <w:t>50%</w:t>
      </w:r>
      <w:r>
        <w:rPr>
          <w:color w:val="000000"/>
          <w:sz w:val="24"/>
        </w:rPr>
        <w:t>的，临时停牌时间为</w:t>
      </w:r>
      <w:r>
        <w:rPr>
          <w:color w:val="000000"/>
          <w:sz w:val="24"/>
        </w:rPr>
        <w:t>1</w:t>
      </w:r>
      <w:r>
        <w:rPr>
          <w:color w:val="000000"/>
          <w:sz w:val="24"/>
        </w:rPr>
        <w:t>小时。</w:t>
      </w:r>
    </w:p>
    <w:p>
      <w:pPr>
        <w:pStyle w:val="TextBody"/>
        <w:ind w:firstLine="400"/>
        <w:rPr/>
      </w:pPr>
      <w:r>
        <w:rPr>
          <w:color w:val="000000"/>
          <w:sz w:val="24"/>
        </w:rPr>
        <w:t>盘中临时停牌具体时间以本所公告为准，临时停牌时间跨越</w:t>
      </w:r>
      <w:r>
        <w:rPr>
          <w:color w:val="000000"/>
          <w:sz w:val="24"/>
        </w:rPr>
        <w:t>14:57</w:t>
      </w:r>
      <w:r>
        <w:rPr>
          <w:color w:val="000000"/>
          <w:sz w:val="24"/>
        </w:rPr>
        <w:t>的，于</w:t>
      </w:r>
      <w:r>
        <w:rPr>
          <w:color w:val="000000"/>
          <w:sz w:val="24"/>
        </w:rPr>
        <w:t>14:57</w:t>
      </w:r>
      <w:r>
        <w:rPr>
          <w:color w:val="000000"/>
          <w:sz w:val="24"/>
        </w:rPr>
        <w:t>复牌并对已接受的申报进行复牌集合竞价，再进行收盘集合竞价。</w:t>
      </w:r>
    </w:p>
    <w:p>
      <w:pPr>
        <w:pStyle w:val="TextBody"/>
        <w:ind w:firstLine="400"/>
        <w:rPr/>
      </w:pPr>
      <w:r>
        <w:rPr>
          <w:color w:val="000000"/>
          <w:sz w:val="24"/>
        </w:rPr>
        <w:t>本所可以视盘中交易情况调整相关指标阀值，或采取进一步的盘中风险控制措施。</w:t>
      </w:r>
    </w:p>
    <w:p>
      <w:pPr>
        <w:pStyle w:val="标题 3"/>
        <w:spacing w:before="100" w:after="100"/>
        <w:rPr/>
      </w:pPr>
      <w:r>
        <w:rPr>
          <w:b w:val="true"/>
          <w:color w:val="000000"/>
          <w:sz w:val="28"/>
        </w:rPr>
        <w:t>4.3.5</w:t>
      </w:r>
    </w:p>
    <w:p>
      <w:pPr>
        <w:pStyle w:val="TextBody"/>
        <w:ind w:firstLine="400"/>
        <w:rPr/>
      </w:pPr>
      <w:r>
        <w:rPr>
          <w:color w:val="000000"/>
          <w:sz w:val="24"/>
        </w:rPr>
        <w:t>证券停牌时，本所发布的行情中包括该证券的信息；证券暂停上市或摘牌后，行情信息中无该证券的信息。</w:t>
      </w:r>
    </w:p>
    <w:p>
      <w:pPr>
        <w:pStyle w:val="标题 3"/>
        <w:spacing w:before="100" w:after="100"/>
        <w:rPr/>
      </w:pPr>
      <w:r>
        <w:rPr>
          <w:b w:val="true"/>
          <w:color w:val="000000"/>
          <w:sz w:val="28"/>
        </w:rPr>
        <w:t>4.3.6</w:t>
      </w:r>
    </w:p>
    <w:p>
      <w:pPr>
        <w:pStyle w:val="TextBody"/>
        <w:ind w:firstLine="400"/>
        <w:rPr/>
      </w:pPr>
      <w:r>
        <w:rPr>
          <w:color w:val="000000"/>
          <w:sz w:val="24"/>
        </w:rPr>
        <w:t>证券在</w:t>
      </w:r>
      <w:r>
        <w:rPr>
          <w:color w:val="000000"/>
          <w:sz w:val="24"/>
        </w:rPr>
        <w:t>9:25</w:t>
      </w:r>
      <w:r>
        <w:rPr>
          <w:color w:val="000000"/>
          <w:sz w:val="24"/>
        </w:rPr>
        <w:t>前停牌的，当日复牌时对已接受的申报实行开盘集合竞价，复牌后继续当日交易。</w:t>
      </w:r>
    </w:p>
    <w:p>
      <w:pPr>
        <w:pStyle w:val="TextBody"/>
        <w:ind w:firstLine="400"/>
        <w:rPr/>
      </w:pPr>
      <w:r>
        <w:rPr>
          <w:color w:val="000000"/>
          <w:sz w:val="24"/>
        </w:rPr>
        <w:t>证券在</w:t>
      </w:r>
      <w:r>
        <w:rPr>
          <w:color w:val="000000"/>
          <w:sz w:val="24"/>
        </w:rPr>
        <w:t>9:30</w:t>
      </w:r>
      <w:r>
        <w:rPr>
          <w:color w:val="000000"/>
          <w:sz w:val="24"/>
        </w:rPr>
        <w:t>及其后临时停牌的，当日复牌时对已接受的申报实行盘中集合竞价，复牌后继续当日交易。</w:t>
      </w:r>
    </w:p>
    <w:p>
      <w:pPr>
        <w:pStyle w:val="TextBody"/>
        <w:ind w:firstLine="400"/>
        <w:rPr/>
      </w:pPr>
      <w:r>
        <w:rPr>
          <w:color w:val="000000"/>
          <w:sz w:val="24"/>
        </w:rPr>
        <w:t>停牌期间，可以申报，也可以撤销申报。停牌期间不揭示集合竞价参考价、匹配量和未匹配量。</w:t>
      </w:r>
    </w:p>
    <w:p>
      <w:pPr>
        <w:pStyle w:val="标题 3"/>
        <w:spacing w:before="100" w:after="100"/>
        <w:rPr/>
      </w:pPr>
      <w:r>
        <w:rPr>
          <w:b w:val="true"/>
          <w:color w:val="000000"/>
          <w:sz w:val="28"/>
        </w:rPr>
        <w:t>4.3.7</w:t>
      </w:r>
    </w:p>
    <w:p>
      <w:pPr>
        <w:pStyle w:val="TextBody"/>
        <w:ind w:firstLine="400"/>
        <w:rPr/>
      </w:pPr>
      <w:r>
        <w:rPr>
          <w:color w:val="000000"/>
          <w:sz w:val="24"/>
        </w:rPr>
        <w:t>证券的挂牌、摘牌、停牌与复牌，由本所或证券发行人予以公告。</w:t>
      </w:r>
    </w:p>
    <w:p>
      <w:pPr>
        <w:pStyle w:val="标题 3"/>
        <w:spacing w:before="100" w:after="100"/>
        <w:rPr/>
      </w:pPr>
      <w:r>
        <w:rPr>
          <w:b w:val="true"/>
          <w:color w:val="000000"/>
          <w:sz w:val="28"/>
        </w:rPr>
        <w:t>4.3.8</w:t>
      </w:r>
    </w:p>
    <w:p>
      <w:pPr>
        <w:pStyle w:val="TextBody"/>
        <w:ind w:firstLine="400"/>
        <w:rPr/>
      </w:pPr>
      <w:r>
        <w:rPr>
          <w:color w:val="000000"/>
          <w:sz w:val="24"/>
        </w:rPr>
        <w:t>证券挂牌、摘牌、停牌与复牌的其他规定，按照本所上市规则及其他有关规定执行。</w:t>
      </w:r>
    </w:p>
    <w:p>
      <w:pPr>
        <w:pStyle w:val="标题 4"/>
        <w:spacing w:before="100" w:after="100"/>
        <w:rPr/>
      </w:pPr>
      <w:r>
        <w:rPr>
          <w:b w:val="true"/>
          <w:color w:val="000000"/>
          <w:sz w:val="24"/>
        </w:rPr>
        <w:t>第四节 除权与除息</w:t>
      </w:r>
    </w:p>
    <w:p>
      <w:pPr>
        <w:pStyle w:val="标题 3"/>
        <w:spacing w:before="100" w:after="100"/>
        <w:rPr/>
      </w:pPr>
      <w:r>
        <w:rPr>
          <w:b w:val="true"/>
          <w:color w:val="000000"/>
          <w:sz w:val="28"/>
        </w:rPr>
        <w:t>4.4.1</w:t>
      </w:r>
    </w:p>
    <w:p>
      <w:pPr>
        <w:pStyle w:val="TextBody"/>
        <w:ind w:firstLine="400"/>
        <w:rPr/>
      </w:pPr>
      <w:r>
        <w:rPr>
          <w:color w:val="000000"/>
          <w:sz w:val="24"/>
        </w:rPr>
        <w:t>上市证券发生权益分派、公积金转增股本、配股等情况，本所在权益登记日（</w:t>
      </w:r>
      <w:r>
        <w:rPr>
          <w:color w:val="000000"/>
          <w:sz w:val="24"/>
        </w:rPr>
        <w:t>B</w:t>
      </w:r>
      <w:r>
        <w:rPr>
          <w:color w:val="000000"/>
          <w:sz w:val="24"/>
        </w:rPr>
        <w:t>股为最后交易日）次一交易日对该证券作除权除息处理，本所另有规定的除外。</w:t>
      </w:r>
    </w:p>
    <w:p>
      <w:pPr>
        <w:pStyle w:val="标题 3"/>
        <w:spacing w:before="100" w:after="100"/>
        <w:rPr/>
      </w:pPr>
      <w:r>
        <w:rPr>
          <w:b w:val="true"/>
          <w:color w:val="000000"/>
          <w:sz w:val="28"/>
        </w:rPr>
        <w:t>4.4.2</w:t>
      </w:r>
    </w:p>
    <w:p>
      <w:pPr>
        <w:pStyle w:val="TextBody"/>
        <w:ind w:firstLine="400"/>
        <w:rPr/>
      </w:pPr>
      <w:r>
        <w:rPr>
          <w:color w:val="000000"/>
          <w:sz w:val="24"/>
        </w:rPr>
        <w:t>除权（息）参考价计算公式为：</w:t>
      </w:r>
    </w:p>
    <w:p>
      <w:pPr>
        <w:pStyle w:val="TextBody"/>
        <w:ind w:firstLine="400"/>
        <w:rPr/>
      </w:pPr>
      <w:r>
        <w:rPr>
          <w:color w:val="000000"/>
          <w:sz w:val="24"/>
        </w:rPr>
        <w:t>除权（息）参考价＝〔（前收盘价</w:t>
      </w:r>
      <w:r>
        <w:rPr>
          <w:color w:val="000000"/>
          <w:sz w:val="24"/>
        </w:rPr>
        <w:t>-</w:t>
      </w:r>
      <w:r>
        <w:rPr>
          <w:color w:val="000000"/>
          <w:sz w:val="24"/>
        </w:rPr>
        <w:t>现金红利）</w:t>
      </w:r>
      <w:r>
        <w:rPr>
          <w:color w:val="000000"/>
          <w:sz w:val="24"/>
        </w:rPr>
        <w:t>+</w:t>
      </w:r>
      <w:r>
        <w:rPr>
          <w:color w:val="000000"/>
          <w:sz w:val="24"/>
        </w:rPr>
        <w:t>配股价格</w:t>
      </w:r>
      <w:r>
        <w:rPr>
          <w:color w:val="000000"/>
          <w:sz w:val="24"/>
        </w:rPr>
        <w:t>×</w:t>
      </w:r>
      <w:r>
        <w:rPr>
          <w:color w:val="000000"/>
          <w:sz w:val="24"/>
        </w:rPr>
        <w:t>股份变动比例〕</w:t>
      </w:r>
      <w:r>
        <w:rPr>
          <w:color w:val="000000"/>
          <w:sz w:val="24"/>
        </w:rPr>
        <w:t>÷</w:t>
      </w:r>
      <w:r>
        <w:rPr>
          <w:color w:val="000000"/>
          <w:sz w:val="24"/>
        </w:rPr>
        <w:t>（</w:t>
      </w:r>
      <w:r>
        <w:rPr>
          <w:color w:val="000000"/>
          <w:sz w:val="24"/>
        </w:rPr>
        <w:t>1+</w:t>
      </w:r>
      <w:r>
        <w:rPr>
          <w:color w:val="000000"/>
          <w:sz w:val="24"/>
        </w:rPr>
        <w:t>股份变动比例）</w:t>
      </w:r>
    </w:p>
    <w:p>
      <w:pPr>
        <w:pStyle w:val="TextBody"/>
        <w:ind w:firstLine="400"/>
        <w:rPr/>
      </w:pPr>
      <w:r>
        <w:rPr>
          <w:color w:val="000000"/>
          <w:sz w:val="24"/>
        </w:rPr>
        <w:t>证券发行人认为有必要调整上述计算公式时，可以向本所提出调整申请并说明理由。经本所同意的，证券发行人应当向市场公布该次除权（息）适用的除权（息）参考价计算公式。</w:t>
      </w:r>
    </w:p>
    <w:p>
      <w:pPr>
        <w:pStyle w:val="标题 3"/>
        <w:spacing w:before="100" w:after="100"/>
        <w:rPr/>
      </w:pPr>
      <w:r>
        <w:rPr>
          <w:b w:val="true"/>
          <w:color w:val="000000"/>
          <w:sz w:val="28"/>
        </w:rPr>
        <w:t>4.4.3</w:t>
      </w:r>
    </w:p>
    <w:p>
      <w:pPr>
        <w:pStyle w:val="TextBody"/>
        <w:ind w:firstLine="400"/>
        <w:rPr/>
      </w:pPr>
      <w:r>
        <w:rPr>
          <w:color w:val="000000"/>
          <w:sz w:val="24"/>
        </w:rPr>
        <w:t>除权（息）日证券买卖，按除权（息）参考价作为计算涨跌幅度的基准，本所另有规定的除外。</w:t>
      </w:r>
    </w:p>
    <w:p>
      <w:pPr>
        <w:pStyle w:val="标题 4"/>
        <w:spacing w:before="100" w:after="100"/>
        <w:rPr/>
      </w:pPr>
      <w:r>
        <w:rPr>
          <w:b w:val="true"/>
          <w:color w:val="000000"/>
          <w:sz w:val="24"/>
        </w:rPr>
        <w:t>第五节 退市整理期间交易事项</w:t>
      </w:r>
    </w:p>
    <w:p>
      <w:pPr>
        <w:pStyle w:val="标题 3"/>
        <w:spacing w:before="100" w:after="100"/>
        <w:rPr/>
      </w:pPr>
      <w:r>
        <w:rPr>
          <w:b w:val="true"/>
          <w:color w:val="000000"/>
          <w:sz w:val="28"/>
        </w:rPr>
        <w:t>4.5.1</w:t>
      </w:r>
    </w:p>
    <w:p>
      <w:pPr>
        <w:pStyle w:val="TextBody"/>
        <w:ind w:firstLine="400"/>
        <w:rPr/>
      </w:pPr>
      <w:r>
        <w:rPr>
          <w:color w:val="000000"/>
          <w:sz w:val="24"/>
        </w:rPr>
        <w:t>退市整理期间，上市公司股票进入退市整理板交易，不在主板、中小企业板或者创业板行情中揭示。</w:t>
      </w:r>
    </w:p>
    <w:p>
      <w:pPr>
        <w:pStyle w:val="TextBody"/>
        <w:ind w:firstLine="400"/>
        <w:rPr/>
      </w:pPr>
      <w:r>
        <w:rPr>
          <w:color w:val="000000"/>
          <w:sz w:val="24"/>
        </w:rPr>
        <w:t>股票进入退市整理板交易的上市公司，其可转换公司债券、权证等衍生品种可以同时进入退市整理板交易，相关交易事项由本所另行规定并报证监会批准。</w:t>
      </w:r>
    </w:p>
    <w:p>
      <w:pPr>
        <w:pStyle w:val="标题 3"/>
        <w:spacing w:before="100" w:after="100"/>
        <w:rPr/>
      </w:pPr>
      <w:r>
        <w:rPr>
          <w:b w:val="true"/>
          <w:color w:val="000000"/>
          <w:sz w:val="28"/>
        </w:rPr>
        <w:t>4.5.2</w:t>
      </w:r>
    </w:p>
    <w:p>
      <w:pPr>
        <w:pStyle w:val="TextBody"/>
        <w:ind w:firstLine="400"/>
        <w:rPr/>
      </w:pPr>
      <w:r>
        <w:rPr>
          <w:color w:val="000000"/>
          <w:sz w:val="24"/>
        </w:rPr>
        <w:t>本所对股票退市整理期间交易实行价格涨跌幅限制，涨跌幅限制比例为</w:t>
      </w:r>
      <w:r>
        <w:rPr>
          <w:color w:val="000000"/>
          <w:sz w:val="24"/>
        </w:rPr>
        <w:t>10%</w:t>
      </w:r>
      <w:r>
        <w:rPr>
          <w:color w:val="000000"/>
          <w:sz w:val="24"/>
        </w:rPr>
        <w:t>。</w:t>
      </w:r>
    </w:p>
    <w:p>
      <w:pPr>
        <w:pStyle w:val="TextBody"/>
        <w:ind w:firstLine="400"/>
        <w:rPr/>
      </w:pPr>
      <w:r>
        <w:rPr>
          <w:color w:val="000000"/>
          <w:sz w:val="24"/>
        </w:rPr>
        <w:t>经证监会批准，本所可以调整退市整理期间股票交易的涨跌幅限制比例。</w:t>
      </w:r>
    </w:p>
    <w:p>
      <w:pPr>
        <w:pStyle w:val="标题 3"/>
        <w:spacing w:before="100" w:after="100"/>
        <w:rPr/>
      </w:pPr>
      <w:r>
        <w:rPr>
          <w:b w:val="true"/>
          <w:color w:val="000000"/>
          <w:sz w:val="28"/>
        </w:rPr>
        <w:t>4.5.3</w:t>
      </w:r>
    </w:p>
    <w:p>
      <w:pPr>
        <w:pStyle w:val="TextBody"/>
        <w:ind w:firstLine="400"/>
        <w:rPr/>
      </w:pPr>
      <w:r>
        <w:rPr>
          <w:color w:val="000000"/>
          <w:sz w:val="24"/>
        </w:rPr>
        <w:t>股票退市整理期间，本所公布其当日买入、卖出金额最大的五家会员证券营业部或交易单元的名称及其各自的买入、卖出金额。</w:t>
      </w:r>
    </w:p>
    <w:p>
      <w:pPr>
        <w:pStyle w:val="标题 3"/>
        <w:spacing w:before="100" w:after="100"/>
        <w:rPr/>
      </w:pPr>
      <w:r>
        <w:rPr>
          <w:b w:val="true"/>
          <w:color w:val="000000"/>
          <w:sz w:val="28"/>
        </w:rPr>
        <w:t>4.5.4</w:t>
      </w:r>
    </w:p>
    <w:p>
      <w:pPr>
        <w:pStyle w:val="TextBody"/>
        <w:ind w:firstLine="400"/>
        <w:rPr/>
      </w:pPr>
      <w:r>
        <w:rPr>
          <w:color w:val="000000"/>
          <w:sz w:val="24"/>
        </w:rPr>
        <w:t>股票退市整理期间交易不纳入本规则第五章规定的证券公开信息披露及异常波动指标的计算。</w:t>
      </w:r>
    </w:p>
    <w:p>
      <w:pPr>
        <w:pStyle w:val="标题 3"/>
        <w:spacing w:before="100" w:after="100"/>
        <w:rPr/>
      </w:pPr>
      <w:r>
        <w:rPr>
          <w:b w:val="true"/>
          <w:color w:val="000000"/>
          <w:sz w:val="28"/>
        </w:rPr>
        <w:t>4.5.5</w:t>
      </w:r>
    </w:p>
    <w:p>
      <w:pPr>
        <w:pStyle w:val="TextBody"/>
        <w:ind w:firstLine="400"/>
        <w:rPr/>
      </w:pPr>
      <w:r>
        <w:rPr>
          <w:color w:val="000000"/>
          <w:sz w:val="24"/>
        </w:rPr>
        <w:t>股票退市整理期间交易不纳入本所指数的计算，成交量计入当日市场成交总量。</w:t>
      </w:r>
    </w:p>
    <w:p>
      <w:pPr>
        <w:pStyle w:val="标题 4"/>
        <w:spacing w:before="100" w:after="100"/>
        <w:rPr/>
      </w:pPr>
      <w:r>
        <w:rPr>
          <w:b w:val="true"/>
          <w:color w:val="000000"/>
          <w:sz w:val="24"/>
        </w:rPr>
        <w:t>第六节 指数熔断</w:t>
      </w:r>
    </w:p>
    <w:p>
      <w:pPr>
        <w:pStyle w:val="标题 3"/>
        <w:spacing w:before="100" w:after="100"/>
        <w:rPr/>
      </w:pPr>
      <w:r>
        <w:rPr>
          <w:b w:val="true"/>
          <w:color w:val="000000"/>
          <w:sz w:val="28"/>
        </w:rPr>
        <w:t>4.6.1</w:t>
      </w:r>
    </w:p>
    <w:p>
      <w:pPr>
        <w:pStyle w:val="TextBody"/>
        <w:ind w:firstLine="400"/>
        <w:rPr/>
      </w:pPr>
      <w:r>
        <w:rPr>
          <w:color w:val="000000"/>
          <w:sz w:val="24"/>
        </w:rPr>
        <w:t>沪深</w:t>
      </w:r>
      <w:r>
        <w:rPr>
          <w:color w:val="000000"/>
          <w:sz w:val="24"/>
        </w:rPr>
        <w:t>300</w:t>
      </w:r>
      <w:r>
        <w:rPr>
          <w:color w:val="000000"/>
          <w:sz w:val="24"/>
        </w:rPr>
        <w:t>指数出现下列情形的，本所可以于当日暂停相关证券品种的竞价交易（以下简称“指数熔断”）：</w:t>
      </w:r>
    </w:p>
    <w:p>
      <w:pPr>
        <w:pStyle w:val="TextBody"/>
        <w:ind w:firstLine="400"/>
        <w:rPr/>
      </w:pPr>
      <w:r>
        <w:rPr>
          <w:color w:val="000000"/>
          <w:sz w:val="24"/>
        </w:rPr>
        <w:t>（一）沪深</w:t>
      </w:r>
      <w:r>
        <w:rPr>
          <w:color w:val="000000"/>
          <w:sz w:val="24"/>
        </w:rPr>
        <w:t>300</w:t>
      </w:r>
      <w:r>
        <w:rPr>
          <w:color w:val="000000"/>
          <w:sz w:val="24"/>
        </w:rPr>
        <w:t>指数较前一交易日收盘首次上涨、下跌达到或超过</w:t>
      </w:r>
      <w:r>
        <w:rPr>
          <w:color w:val="000000"/>
          <w:sz w:val="24"/>
        </w:rPr>
        <w:t>5%</w:t>
      </w:r>
      <w:r>
        <w:rPr>
          <w:color w:val="000000"/>
          <w:sz w:val="24"/>
        </w:rPr>
        <w:t>但未达到</w:t>
      </w:r>
      <w:r>
        <w:rPr>
          <w:color w:val="000000"/>
          <w:sz w:val="24"/>
        </w:rPr>
        <w:t>7%</w:t>
      </w:r>
      <w:r>
        <w:rPr>
          <w:color w:val="000000"/>
          <w:sz w:val="24"/>
        </w:rPr>
        <w:t>的，指数熔断时间为</w:t>
      </w:r>
      <w:r>
        <w:rPr>
          <w:color w:val="000000"/>
          <w:sz w:val="24"/>
        </w:rPr>
        <w:t>15</w:t>
      </w:r>
      <w:r>
        <w:rPr>
          <w:color w:val="000000"/>
          <w:sz w:val="24"/>
        </w:rPr>
        <w:t>分钟。指数熔断时间跨越</w:t>
      </w:r>
      <w:r>
        <w:rPr>
          <w:color w:val="000000"/>
          <w:sz w:val="24"/>
        </w:rPr>
        <w:t>11:30</w:t>
      </w:r>
      <w:r>
        <w:rPr>
          <w:color w:val="000000"/>
          <w:sz w:val="24"/>
        </w:rPr>
        <w:t>的，于</w:t>
      </w:r>
      <w:r>
        <w:rPr>
          <w:color w:val="000000"/>
          <w:sz w:val="24"/>
        </w:rPr>
        <w:t>13:00</w:t>
      </w:r>
      <w:r>
        <w:rPr>
          <w:color w:val="000000"/>
          <w:sz w:val="24"/>
        </w:rPr>
        <w:t>起继续计算。熔断时间跨越</w:t>
      </w:r>
      <w:r>
        <w:rPr>
          <w:color w:val="000000"/>
          <w:sz w:val="24"/>
        </w:rPr>
        <w:t>14:57</w:t>
      </w:r>
      <w:r>
        <w:rPr>
          <w:color w:val="000000"/>
          <w:sz w:val="24"/>
        </w:rPr>
        <w:t>的，于</w:t>
      </w:r>
      <w:r>
        <w:rPr>
          <w:color w:val="000000"/>
          <w:sz w:val="24"/>
        </w:rPr>
        <w:t>14:57</w:t>
      </w:r>
      <w:r>
        <w:rPr>
          <w:color w:val="000000"/>
          <w:sz w:val="24"/>
        </w:rPr>
        <w:t>恢复交易并进行收盘集合竞价，但</w:t>
      </w:r>
      <w:r>
        <w:rPr>
          <w:color w:val="000000"/>
          <w:sz w:val="24"/>
        </w:rPr>
        <w:t>14:45</w:t>
      </w:r>
      <w:r>
        <w:rPr>
          <w:color w:val="000000"/>
          <w:sz w:val="24"/>
        </w:rPr>
        <w:t>及之后触发的，指数熔断至</w:t>
      </w:r>
      <w:r>
        <w:rPr>
          <w:color w:val="000000"/>
          <w:sz w:val="24"/>
        </w:rPr>
        <w:t>15:00</w:t>
      </w:r>
      <w:r>
        <w:rPr>
          <w:color w:val="000000"/>
          <w:sz w:val="24"/>
        </w:rPr>
        <w:t>，当日不恢复交易。</w:t>
      </w:r>
    </w:p>
    <w:p>
      <w:pPr>
        <w:pStyle w:val="TextBody"/>
        <w:ind w:firstLine="400"/>
        <w:rPr/>
      </w:pPr>
      <w:r>
        <w:rPr>
          <w:color w:val="000000"/>
          <w:sz w:val="24"/>
        </w:rPr>
        <w:t>（二）沪深</w:t>
      </w:r>
      <w:r>
        <w:rPr>
          <w:color w:val="000000"/>
          <w:sz w:val="24"/>
        </w:rPr>
        <w:t>300</w:t>
      </w:r>
      <w:r>
        <w:rPr>
          <w:color w:val="000000"/>
          <w:sz w:val="24"/>
        </w:rPr>
        <w:t>指数较前一交易日收盘上涨、下跌达到或超过</w:t>
      </w:r>
      <w:r>
        <w:rPr>
          <w:color w:val="000000"/>
          <w:sz w:val="24"/>
        </w:rPr>
        <w:t>7%</w:t>
      </w:r>
      <w:r>
        <w:rPr>
          <w:color w:val="000000"/>
          <w:sz w:val="24"/>
        </w:rPr>
        <w:t>的，指数熔断至</w:t>
      </w:r>
      <w:r>
        <w:rPr>
          <w:color w:val="000000"/>
          <w:sz w:val="24"/>
        </w:rPr>
        <w:t>15:00</w:t>
      </w:r>
      <w:r>
        <w:rPr>
          <w:color w:val="000000"/>
          <w:sz w:val="24"/>
        </w:rPr>
        <w:t>，当日不恢复交易。</w:t>
      </w:r>
    </w:p>
    <w:p>
      <w:pPr>
        <w:pStyle w:val="TextBody"/>
        <w:ind w:firstLine="400"/>
        <w:rPr/>
      </w:pPr>
      <w:r>
        <w:rPr>
          <w:color w:val="000000"/>
          <w:sz w:val="24"/>
        </w:rPr>
        <w:t>9:30</w:t>
      </w:r>
      <w:r>
        <w:rPr>
          <w:color w:val="000000"/>
          <w:sz w:val="24"/>
        </w:rPr>
        <w:t>前出现第（一）、（二）项情形的，于</w:t>
      </w:r>
      <w:r>
        <w:rPr>
          <w:color w:val="000000"/>
          <w:sz w:val="24"/>
        </w:rPr>
        <w:t>9:30</w:t>
      </w:r>
      <w:r>
        <w:rPr>
          <w:color w:val="000000"/>
          <w:sz w:val="24"/>
        </w:rPr>
        <w:t>开始实施指数熔断。</w:t>
      </w:r>
      <w:r>
        <w:rPr>
          <w:color w:val="000000"/>
          <w:sz w:val="24"/>
        </w:rPr>
        <w:t>14:57</w:t>
      </w:r>
      <w:r>
        <w:rPr>
          <w:color w:val="000000"/>
          <w:sz w:val="24"/>
        </w:rPr>
        <w:t>至</w:t>
      </w:r>
      <w:r>
        <w:rPr>
          <w:color w:val="000000"/>
          <w:sz w:val="24"/>
        </w:rPr>
        <w:t>15:00</w:t>
      </w:r>
      <w:r>
        <w:rPr>
          <w:color w:val="000000"/>
          <w:sz w:val="24"/>
        </w:rPr>
        <w:t>期间不实施指数熔断。</w:t>
      </w:r>
    </w:p>
    <w:p>
      <w:pPr>
        <w:pStyle w:val="TextBody"/>
        <w:ind w:firstLine="400"/>
        <w:rPr/>
      </w:pPr>
      <w:r>
        <w:rPr>
          <w:color w:val="000000"/>
          <w:sz w:val="24"/>
        </w:rPr>
        <w:t>指数熔断的具体实施时间以本所公告为准。</w:t>
      </w:r>
    </w:p>
    <w:p>
      <w:pPr>
        <w:pStyle w:val="标题 3"/>
        <w:spacing w:before="100" w:after="100"/>
        <w:rPr/>
      </w:pPr>
      <w:r>
        <w:rPr>
          <w:b w:val="true"/>
          <w:color w:val="000000"/>
          <w:sz w:val="28"/>
        </w:rPr>
        <w:t>4.6.2</w:t>
      </w:r>
    </w:p>
    <w:p>
      <w:pPr>
        <w:pStyle w:val="TextBody"/>
        <w:ind w:firstLine="400"/>
        <w:rPr/>
      </w:pPr>
      <w:r>
        <w:rPr>
          <w:color w:val="000000"/>
          <w:sz w:val="24"/>
        </w:rPr>
        <w:t>本所交易日为股指期货合约交割日的，当日指数熔断时间跨越</w:t>
      </w:r>
      <w:r>
        <w:rPr>
          <w:color w:val="000000"/>
          <w:sz w:val="24"/>
        </w:rPr>
        <w:t>11:30</w:t>
      </w:r>
      <w:r>
        <w:rPr>
          <w:color w:val="000000"/>
          <w:sz w:val="24"/>
        </w:rPr>
        <w:t>的，于</w:t>
      </w:r>
      <w:r>
        <w:rPr>
          <w:color w:val="000000"/>
          <w:sz w:val="24"/>
        </w:rPr>
        <w:t>13:00</w:t>
      </w:r>
      <w:r>
        <w:rPr>
          <w:color w:val="000000"/>
          <w:sz w:val="24"/>
        </w:rPr>
        <w:t>起恢复交易；当日</w:t>
      </w:r>
      <w:r>
        <w:rPr>
          <w:color w:val="000000"/>
          <w:sz w:val="24"/>
        </w:rPr>
        <w:t>13:00</w:t>
      </w:r>
      <w:r>
        <w:rPr>
          <w:color w:val="000000"/>
          <w:sz w:val="24"/>
        </w:rPr>
        <w:t>至</w:t>
      </w:r>
      <w:r>
        <w:rPr>
          <w:color w:val="000000"/>
          <w:sz w:val="24"/>
        </w:rPr>
        <w:t>15:00</w:t>
      </w:r>
      <w:r>
        <w:rPr>
          <w:color w:val="000000"/>
          <w:sz w:val="24"/>
        </w:rPr>
        <w:t>期间，本所不实施指数熔断。</w:t>
      </w:r>
    </w:p>
    <w:p>
      <w:pPr>
        <w:pStyle w:val="TextBody"/>
        <w:ind w:firstLine="400"/>
        <w:rPr/>
      </w:pPr>
      <w:r>
        <w:rPr>
          <w:color w:val="000000"/>
          <w:sz w:val="24"/>
        </w:rPr>
        <w:t>本条所称股指期货合约交割日，是指中国金融期货交易所上市交易的上证</w:t>
      </w:r>
      <w:r>
        <w:rPr>
          <w:color w:val="000000"/>
          <w:sz w:val="24"/>
        </w:rPr>
        <w:t>50</w:t>
      </w:r>
      <w:r>
        <w:rPr>
          <w:color w:val="000000"/>
          <w:sz w:val="24"/>
        </w:rPr>
        <w:t>指数期货、沪深</w:t>
      </w:r>
      <w:r>
        <w:rPr>
          <w:color w:val="000000"/>
          <w:sz w:val="24"/>
        </w:rPr>
        <w:t>300</w:t>
      </w:r>
      <w:r>
        <w:rPr>
          <w:color w:val="000000"/>
          <w:sz w:val="24"/>
        </w:rPr>
        <w:t>指数期货、中证</w:t>
      </w:r>
      <w:r>
        <w:rPr>
          <w:color w:val="000000"/>
          <w:sz w:val="24"/>
        </w:rPr>
        <w:t>500</w:t>
      </w:r>
      <w:r>
        <w:rPr>
          <w:color w:val="000000"/>
          <w:sz w:val="24"/>
        </w:rPr>
        <w:t>指数期货以及本所规定的其他股指期货合约的交割日。</w:t>
      </w:r>
    </w:p>
    <w:p>
      <w:pPr>
        <w:pStyle w:val="标题 3"/>
        <w:spacing w:before="100" w:after="100"/>
        <w:rPr/>
      </w:pPr>
      <w:r>
        <w:rPr>
          <w:b w:val="true"/>
          <w:color w:val="000000"/>
          <w:sz w:val="28"/>
        </w:rPr>
        <w:t>4.6.3</w:t>
      </w:r>
    </w:p>
    <w:p>
      <w:pPr>
        <w:pStyle w:val="TextBody"/>
        <w:ind w:firstLine="400"/>
        <w:rPr/>
      </w:pPr>
      <w:r>
        <w:rPr>
          <w:color w:val="000000"/>
          <w:sz w:val="24"/>
        </w:rPr>
        <w:t>本所实施指数熔断的证券品种包括股票、相关基金品种、可转换公司债券、可交换公司债券以及本所认定的其他证券品种，具体以本所公告为准。</w:t>
      </w:r>
    </w:p>
    <w:p>
      <w:pPr>
        <w:pStyle w:val="标题 3"/>
        <w:spacing w:before="100" w:after="100"/>
        <w:rPr/>
      </w:pPr>
      <w:r>
        <w:rPr>
          <w:b w:val="true"/>
          <w:color w:val="000000"/>
          <w:sz w:val="28"/>
        </w:rPr>
        <w:t>4.6.4</w:t>
      </w:r>
    </w:p>
    <w:p>
      <w:pPr>
        <w:pStyle w:val="TextBody"/>
        <w:ind w:firstLine="400"/>
        <w:rPr/>
      </w:pPr>
      <w:r>
        <w:rPr>
          <w:color w:val="000000"/>
          <w:sz w:val="24"/>
        </w:rPr>
        <w:t>指数熔断期间，投资者可以申报，也可以撤销申报。</w:t>
      </w:r>
    </w:p>
    <w:p>
      <w:pPr>
        <w:pStyle w:val="TextBody"/>
        <w:ind w:firstLine="400"/>
        <w:rPr/>
      </w:pPr>
      <w:r>
        <w:rPr>
          <w:color w:val="000000"/>
          <w:sz w:val="24"/>
        </w:rPr>
        <w:t>恢复交易时，本所对已接受的申报进行集合竞价，再继续当日交易。</w:t>
      </w:r>
    </w:p>
    <w:p>
      <w:pPr>
        <w:pStyle w:val="TextBody"/>
        <w:ind w:firstLine="400"/>
        <w:rPr/>
      </w:pPr>
      <w:r>
        <w:rPr>
          <w:color w:val="000000"/>
          <w:sz w:val="24"/>
        </w:rPr>
        <w:t>指数熔断期间和恢复交易时的集合竞价不揭示虚拟参考价、匹配量和未匹配量。</w:t>
      </w:r>
    </w:p>
    <w:p>
      <w:pPr>
        <w:pStyle w:val="标题 3"/>
        <w:spacing w:before="100" w:after="100"/>
        <w:rPr/>
      </w:pPr>
      <w:r>
        <w:rPr>
          <w:b w:val="true"/>
          <w:color w:val="000000"/>
          <w:sz w:val="28"/>
        </w:rPr>
        <w:t>4.6.5</w:t>
      </w:r>
    </w:p>
    <w:p>
      <w:pPr>
        <w:pStyle w:val="TextBody"/>
        <w:ind w:firstLine="400"/>
        <w:rPr/>
      </w:pPr>
      <w:r>
        <w:rPr>
          <w:color w:val="000000"/>
          <w:sz w:val="24"/>
        </w:rPr>
        <w:t>指数熔断期间，相关证券复牌的，延至指数熔断结束后实施。</w:t>
      </w:r>
    </w:p>
    <w:p>
      <w:pPr>
        <w:pStyle w:val="标题 3"/>
        <w:spacing w:before="100" w:after="100"/>
        <w:rPr/>
      </w:pPr>
      <w:r>
        <w:rPr>
          <w:b w:val="true"/>
          <w:color w:val="000000"/>
          <w:sz w:val="28"/>
        </w:rPr>
        <w:t>4.6.6</w:t>
      </w:r>
    </w:p>
    <w:p>
      <w:pPr>
        <w:pStyle w:val="TextBody"/>
        <w:ind w:firstLine="400"/>
        <w:rPr/>
      </w:pPr>
      <w:r>
        <w:rPr>
          <w:color w:val="000000"/>
          <w:sz w:val="24"/>
        </w:rPr>
        <w:t>指数熔断至</w:t>
      </w:r>
      <w:r>
        <w:rPr>
          <w:color w:val="000000"/>
          <w:sz w:val="24"/>
        </w:rPr>
        <w:t>15:00</w:t>
      </w:r>
      <w:r>
        <w:rPr>
          <w:color w:val="000000"/>
          <w:sz w:val="24"/>
        </w:rPr>
        <w:t>的，相关证券以当日该证券最后一笔交易前一分钟所有交易的成交量加权平均价（含最后一笔交易）为收盘价。当日无成交的，以前收盘价为当日收盘价。</w:t>
      </w:r>
    </w:p>
    <w:p>
      <w:pPr>
        <w:pStyle w:val="标题 3"/>
        <w:spacing w:before="100" w:after="100"/>
        <w:rPr/>
      </w:pPr>
      <w:r>
        <w:rPr>
          <w:b w:val="true"/>
          <w:color w:val="000000"/>
          <w:sz w:val="28"/>
        </w:rPr>
        <w:t>4.6.7</w:t>
      </w:r>
    </w:p>
    <w:p>
      <w:pPr>
        <w:pStyle w:val="TextBody"/>
        <w:ind w:firstLine="400"/>
        <w:rPr/>
      </w:pPr>
      <w:r>
        <w:rPr>
          <w:color w:val="000000"/>
          <w:sz w:val="24"/>
        </w:rPr>
        <w:t>指数熔断至</w:t>
      </w:r>
      <w:r>
        <w:rPr>
          <w:color w:val="000000"/>
          <w:sz w:val="24"/>
        </w:rPr>
        <w:t>15:00</w:t>
      </w:r>
      <w:r>
        <w:rPr>
          <w:color w:val="000000"/>
          <w:sz w:val="24"/>
        </w:rPr>
        <w:t>的，相关证券当日不再进行大宗交易。</w:t>
      </w:r>
    </w:p>
    <w:p>
      <w:pPr>
        <w:pStyle w:val="Heading1"/>
        <w:rPr/>
      </w:pPr>
      <w:r>
        <w:rPr>
          <w:color w:val="000000"/>
          <w:sz w:val="24"/>
        </w:rPr>
        <w:t>第五章 交易信息</w:t>
      </w:r>
    </w:p>
    <w:p>
      <w:pPr>
        <w:pStyle w:val="标题 4"/>
        <w:spacing w:before="100" w:after="100"/>
        <w:rPr/>
      </w:pPr>
      <w:r>
        <w:rPr>
          <w:b w:val="true"/>
          <w:color w:val="000000"/>
          <w:sz w:val="24"/>
        </w:rPr>
        <w:t>第一节 一般规定</w:t>
      </w:r>
    </w:p>
    <w:p>
      <w:pPr>
        <w:pStyle w:val="标题 3"/>
        <w:spacing w:before="100" w:after="100"/>
        <w:rPr/>
      </w:pPr>
      <w:r>
        <w:rPr>
          <w:b w:val="true"/>
          <w:color w:val="000000"/>
          <w:sz w:val="28"/>
        </w:rPr>
        <w:t>5.1.1</w:t>
      </w:r>
    </w:p>
    <w:p>
      <w:pPr>
        <w:pStyle w:val="TextBody"/>
        <w:ind w:firstLine="400"/>
        <w:rPr/>
      </w:pPr>
      <w:r>
        <w:rPr>
          <w:color w:val="000000"/>
          <w:sz w:val="24"/>
        </w:rPr>
        <w:t>本所每个交易日实时发布证券交易即时行情、证券指数，并发布证券交易公开信息等交易信息。</w:t>
      </w:r>
    </w:p>
    <w:p>
      <w:pPr>
        <w:pStyle w:val="标题 3"/>
        <w:spacing w:before="100" w:after="100"/>
        <w:rPr/>
      </w:pPr>
      <w:r>
        <w:rPr>
          <w:b w:val="true"/>
          <w:color w:val="000000"/>
          <w:sz w:val="28"/>
        </w:rPr>
        <w:t>5.1.2</w:t>
      </w:r>
    </w:p>
    <w:p>
      <w:pPr>
        <w:pStyle w:val="TextBody"/>
        <w:ind w:firstLine="400"/>
        <w:rPr/>
      </w:pPr>
      <w:r>
        <w:rPr>
          <w:color w:val="000000"/>
          <w:sz w:val="24"/>
        </w:rPr>
        <w:t>本所及时编制反映市场成交情况的各类日报表、周报表、月报表和年报表，并通过本所网站或其他媒体予以公布。</w:t>
      </w:r>
    </w:p>
    <w:p>
      <w:pPr>
        <w:pStyle w:val="标题 3"/>
        <w:spacing w:before="100" w:after="100"/>
        <w:rPr/>
      </w:pPr>
      <w:r>
        <w:rPr>
          <w:b w:val="true"/>
          <w:color w:val="000000"/>
          <w:sz w:val="28"/>
        </w:rPr>
        <w:t>5.1.3</w:t>
      </w:r>
    </w:p>
    <w:p>
      <w:pPr>
        <w:pStyle w:val="TextBody"/>
        <w:ind w:firstLine="400"/>
        <w:rPr/>
      </w:pPr>
      <w:r>
        <w:rPr>
          <w:color w:val="000000"/>
          <w:sz w:val="24"/>
        </w:rPr>
        <w:t>本所交易信息归本所所有。未经许可，任何机构和个人不得使用和传播。</w:t>
      </w:r>
    </w:p>
    <w:p>
      <w:pPr>
        <w:pStyle w:val="TextBody"/>
        <w:ind w:firstLine="400"/>
        <w:rPr/>
      </w:pPr>
      <w:r>
        <w:rPr>
          <w:color w:val="000000"/>
          <w:sz w:val="24"/>
        </w:rPr>
        <w:t>经本所许可使用交易信息的机构和个人，未经同意，不得将交易信息提供给其他机构和个人使用或予以传播。证券交易信息的管理办法，由本所另行制定。</w:t>
      </w:r>
    </w:p>
    <w:p>
      <w:pPr>
        <w:pStyle w:val="标题 4"/>
        <w:spacing w:before="100" w:after="100"/>
        <w:rPr/>
      </w:pPr>
      <w:r>
        <w:rPr>
          <w:b w:val="true"/>
          <w:color w:val="000000"/>
          <w:sz w:val="24"/>
        </w:rPr>
        <w:t>第二节 即时行情</w:t>
      </w:r>
    </w:p>
    <w:p>
      <w:pPr>
        <w:pStyle w:val="标题 3"/>
        <w:spacing w:before="100" w:after="100"/>
        <w:rPr/>
      </w:pPr>
      <w:r>
        <w:rPr>
          <w:b w:val="true"/>
          <w:color w:val="000000"/>
          <w:sz w:val="28"/>
        </w:rPr>
        <w:t>5.2.1</w:t>
      </w:r>
    </w:p>
    <w:p>
      <w:pPr>
        <w:pStyle w:val="TextBody"/>
        <w:ind w:firstLine="400"/>
        <w:rPr/>
      </w:pPr>
      <w:r>
        <w:rPr>
          <w:color w:val="000000"/>
          <w:sz w:val="24"/>
        </w:rPr>
        <w:t>开盘、收盘集合竞价期间，即时行情内容包括：证券代码、证券简称、集合竞价参考价、匹配量和未匹配量等。</w:t>
      </w:r>
    </w:p>
    <w:p>
      <w:pPr>
        <w:pStyle w:val="标题 3"/>
        <w:spacing w:before="100" w:after="100"/>
        <w:rPr/>
      </w:pPr>
      <w:r>
        <w:rPr>
          <w:b w:val="true"/>
          <w:color w:val="000000"/>
          <w:sz w:val="28"/>
        </w:rPr>
        <w:t>5.2.2</w:t>
      </w:r>
    </w:p>
    <w:p>
      <w:pPr>
        <w:pStyle w:val="TextBody"/>
        <w:ind w:firstLine="400"/>
        <w:rPr/>
      </w:pPr>
      <w:r>
        <w:rPr>
          <w:color w:val="000000"/>
          <w:sz w:val="24"/>
        </w:rPr>
        <w:t>连续竞价期间，即时行情内容包括：证券代码、证券简称、前收盘价、最近成交价、当日最高价、当日最低价、当日累计成交数量、当日累计成交金额、实时最高五个价位买入申报价和数量、实时最低五个价位卖出申报价和数量等。</w:t>
      </w:r>
    </w:p>
    <w:p>
      <w:pPr>
        <w:pStyle w:val="标题 3"/>
        <w:spacing w:before="100" w:after="100"/>
        <w:rPr/>
      </w:pPr>
      <w:r>
        <w:rPr>
          <w:b w:val="true"/>
          <w:color w:val="000000"/>
          <w:sz w:val="28"/>
        </w:rPr>
        <w:t>5.2.3</w:t>
      </w:r>
    </w:p>
    <w:p>
      <w:pPr>
        <w:pStyle w:val="TextBody"/>
        <w:ind w:firstLine="400"/>
        <w:rPr/>
      </w:pPr>
      <w:r>
        <w:rPr>
          <w:color w:val="000000"/>
          <w:sz w:val="24"/>
        </w:rPr>
        <w:t>即时行情显示的前收盘价为该证券上一交易日的收盘价，但下列情形的除外：</w:t>
      </w:r>
    </w:p>
    <w:p>
      <w:pPr>
        <w:pStyle w:val="TextBody"/>
        <w:ind w:firstLine="400"/>
        <w:rPr/>
      </w:pPr>
      <w:r>
        <w:rPr>
          <w:color w:val="000000"/>
          <w:sz w:val="24"/>
        </w:rPr>
        <w:t>（一）首次公开发行并上市股票、上市债券上市首日，其即时行情显示的前收盘价为其发行价；</w:t>
      </w:r>
    </w:p>
    <w:p>
      <w:pPr>
        <w:pStyle w:val="TextBody"/>
        <w:ind w:firstLine="400"/>
        <w:rPr/>
      </w:pPr>
      <w:r>
        <w:rPr>
          <w:color w:val="000000"/>
          <w:sz w:val="24"/>
        </w:rPr>
        <w:t>（二）恢复上市股票上市首日，其即时行情显示的前收盘价为其暂停上市前最后交易日的收盘价或恢复上市前最近一次增发价；</w:t>
      </w:r>
    </w:p>
    <w:p>
      <w:pPr>
        <w:pStyle w:val="TextBody"/>
        <w:ind w:firstLine="400"/>
        <w:rPr/>
      </w:pPr>
      <w:r>
        <w:rPr>
          <w:color w:val="000000"/>
          <w:sz w:val="24"/>
        </w:rPr>
        <w:t>（三）基金上市首日，其即时行情显示的前收盘价为其前一交易日基金份额净值（四舍五入至</w:t>
      </w:r>
      <w:r>
        <w:rPr>
          <w:color w:val="000000"/>
          <w:sz w:val="24"/>
        </w:rPr>
        <w:t>0.001</w:t>
      </w:r>
      <w:r>
        <w:rPr>
          <w:color w:val="000000"/>
          <w:sz w:val="24"/>
        </w:rPr>
        <w:t>元），本所另有规定的除外；</w:t>
      </w:r>
    </w:p>
    <w:p>
      <w:pPr>
        <w:pStyle w:val="TextBody"/>
        <w:ind w:firstLine="400"/>
        <w:rPr/>
      </w:pPr>
      <w:r>
        <w:rPr>
          <w:color w:val="000000"/>
          <w:sz w:val="24"/>
        </w:rPr>
        <w:t>（四）证券除权（息）日，其即时行情显示的前收盘价为该证券除权（息）参考价；</w:t>
      </w:r>
    </w:p>
    <w:p>
      <w:pPr>
        <w:pStyle w:val="TextBody"/>
        <w:ind w:firstLine="400"/>
        <w:rPr/>
      </w:pPr>
      <w:r>
        <w:rPr>
          <w:color w:val="000000"/>
          <w:sz w:val="24"/>
        </w:rPr>
        <w:t>（五）本所规定的其他情形。</w:t>
      </w:r>
    </w:p>
    <w:p>
      <w:pPr>
        <w:pStyle w:val="标题 3"/>
        <w:spacing w:before="100" w:after="100"/>
        <w:rPr/>
      </w:pPr>
      <w:r>
        <w:rPr>
          <w:b w:val="true"/>
          <w:color w:val="000000"/>
          <w:sz w:val="28"/>
        </w:rPr>
        <w:t>5.2.4</w:t>
      </w:r>
    </w:p>
    <w:p>
      <w:pPr>
        <w:pStyle w:val="TextBody"/>
        <w:ind w:firstLine="400"/>
        <w:rPr/>
      </w:pPr>
      <w:r>
        <w:rPr>
          <w:color w:val="000000"/>
          <w:sz w:val="24"/>
        </w:rPr>
        <w:t>即时行情通过本所许可的通信系统传输，交易参与人应在本所许可的范围内使用。</w:t>
      </w:r>
    </w:p>
    <w:p>
      <w:pPr>
        <w:pStyle w:val="标题 3"/>
        <w:spacing w:before="100" w:after="100"/>
        <w:rPr/>
      </w:pPr>
      <w:r>
        <w:rPr>
          <w:b w:val="true"/>
          <w:color w:val="000000"/>
          <w:sz w:val="28"/>
        </w:rPr>
        <w:t>5.2.5</w:t>
      </w:r>
    </w:p>
    <w:p>
      <w:pPr>
        <w:pStyle w:val="TextBody"/>
        <w:ind w:firstLine="400"/>
        <w:rPr/>
      </w:pPr>
      <w:r>
        <w:rPr>
          <w:color w:val="000000"/>
          <w:sz w:val="24"/>
        </w:rPr>
        <w:t>本所可以根据市场需要，调整即时行情发布的方式和内容。</w:t>
      </w:r>
    </w:p>
    <w:p>
      <w:pPr>
        <w:pStyle w:val="标题 4"/>
        <w:spacing w:before="100" w:after="100"/>
        <w:rPr/>
      </w:pPr>
      <w:r>
        <w:rPr>
          <w:b w:val="true"/>
          <w:color w:val="000000"/>
          <w:sz w:val="24"/>
        </w:rPr>
        <w:t>第三节 证券指数</w:t>
      </w:r>
    </w:p>
    <w:p>
      <w:pPr>
        <w:pStyle w:val="标题 3"/>
        <w:spacing w:before="100" w:after="100"/>
        <w:rPr/>
      </w:pPr>
      <w:r>
        <w:rPr>
          <w:b w:val="true"/>
          <w:color w:val="000000"/>
          <w:sz w:val="28"/>
        </w:rPr>
        <w:t>5.3.1</w:t>
      </w:r>
    </w:p>
    <w:p>
      <w:pPr>
        <w:pStyle w:val="TextBody"/>
        <w:ind w:firstLine="400"/>
        <w:rPr/>
      </w:pPr>
      <w:r>
        <w:rPr>
          <w:color w:val="000000"/>
          <w:sz w:val="24"/>
        </w:rPr>
        <w:t>本所编制综合指数、成份指数、分类指数等证券指数，以反映证券交易总体价格或某类证券价格的变动和走势，随即时行情发布。</w:t>
      </w:r>
    </w:p>
    <w:p>
      <w:pPr>
        <w:pStyle w:val="标题 3"/>
        <w:spacing w:before="100" w:after="100"/>
        <w:rPr/>
      </w:pPr>
      <w:r>
        <w:rPr>
          <w:b w:val="true"/>
          <w:color w:val="000000"/>
          <w:sz w:val="28"/>
        </w:rPr>
        <w:t>5.3.2</w:t>
      </w:r>
    </w:p>
    <w:p>
      <w:pPr>
        <w:pStyle w:val="TextBody"/>
        <w:ind w:firstLine="400"/>
        <w:rPr/>
      </w:pPr>
      <w:r>
        <w:rPr>
          <w:color w:val="000000"/>
          <w:sz w:val="24"/>
        </w:rPr>
        <w:t>证券指数的设置和编制方法，由本所另行制定。</w:t>
      </w:r>
    </w:p>
    <w:p>
      <w:pPr>
        <w:pStyle w:val="标题 4"/>
        <w:spacing w:before="100" w:after="100"/>
        <w:rPr/>
      </w:pPr>
      <w:r>
        <w:rPr>
          <w:b w:val="true"/>
          <w:color w:val="000000"/>
          <w:sz w:val="24"/>
        </w:rPr>
        <w:t>第四节 证券交易公开信息</w:t>
      </w:r>
    </w:p>
    <w:p>
      <w:pPr>
        <w:pStyle w:val="标题 3"/>
        <w:spacing w:before="100" w:after="100"/>
        <w:rPr/>
      </w:pPr>
      <w:r>
        <w:rPr>
          <w:b w:val="true"/>
          <w:color w:val="000000"/>
          <w:sz w:val="28"/>
        </w:rPr>
        <w:t>5.4.1</w:t>
      </w:r>
    </w:p>
    <w:p>
      <w:pPr>
        <w:pStyle w:val="TextBody"/>
        <w:ind w:firstLine="400"/>
        <w:rPr/>
      </w:pPr>
      <w:r>
        <w:rPr>
          <w:color w:val="000000"/>
          <w:sz w:val="24"/>
        </w:rPr>
        <w:t>有价格涨跌幅限制的股票、封闭式基金竞价交易出现下列情形之一的，本所分别公布相关证券当日买入、卖出金额最大五家会员证券营业部或交易单元的名称及其各自的买入、卖出金额：</w:t>
      </w:r>
    </w:p>
    <w:p>
      <w:pPr>
        <w:pStyle w:val="TextBody"/>
        <w:ind w:firstLine="400"/>
        <w:rPr/>
      </w:pPr>
      <w:r>
        <w:rPr>
          <w:color w:val="000000"/>
          <w:sz w:val="24"/>
        </w:rPr>
        <w:t>（一）当日收盘价涨跌幅偏离值达到</w:t>
      </w:r>
      <w:r>
        <w:rPr>
          <w:color w:val="000000"/>
          <w:sz w:val="24"/>
        </w:rPr>
        <w:t>±7%</w:t>
      </w:r>
      <w:r>
        <w:rPr>
          <w:color w:val="000000"/>
          <w:sz w:val="24"/>
        </w:rPr>
        <w:t>的各前五只证券；</w:t>
      </w:r>
    </w:p>
    <w:p>
      <w:pPr>
        <w:pStyle w:val="TextBody"/>
        <w:ind w:firstLine="400"/>
        <w:rPr/>
      </w:pPr>
      <w:r>
        <w:rPr>
          <w:color w:val="000000"/>
          <w:sz w:val="24"/>
        </w:rPr>
        <w:t>收盘价涨跌幅偏离值的计算公式为：收盘价涨跌幅偏离值</w:t>
      </w:r>
      <w:r>
        <w:rPr>
          <w:color w:val="000000"/>
          <w:sz w:val="24"/>
        </w:rPr>
        <w:t>=</w:t>
      </w:r>
      <w:r>
        <w:rPr>
          <w:color w:val="000000"/>
          <w:sz w:val="24"/>
        </w:rPr>
        <w:t>单只证券涨跌幅</w:t>
      </w:r>
      <w:r>
        <w:rPr>
          <w:color w:val="000000"/>
          <w:sz w:val="24"/>
        </w:rPr>
        <w:t>-</w:t>
      </w:r>
      <w:r>
        <w:rPr>
          <w:color w:val="000000"/>
          <w:sz w:val="24"/>
        </w:rPr>
        <w:t>对应分类指数涨跌幅</w:t>
      </w:r>
    </w:p>
    <w:p>
      <w:pPr>
        <w:pStyle w:val="TextBody"/>
        <w:ind w:firstLine="400"/>
        <w:rPr/>
      </w:pPr>
      <w:r>
        <w:rPr>
          <w:color w:val="000000"/>
          <w:sz w:val="24"/>
        </w:rPr>
        <w:t>证券价格达到涨跌幅限制的，取对应的涨跌幅限制比例进行计算。</w:t>
      </w:r>
    </w:p>
    <w:p>
      <w:pPr>
        <w:pStyle w:val="TextBody"/>
        <w:ind w:firstLine="400"/>
        <w:rPr/>
      </w:pPr>
      <w:r>
        <w:rPr>
          <w:color w:val="000000"/>
          <w:sz w:val="24"/>
        </w:rPr>
        <w:t>（二）当日价格振幅达到</w:t>
      </w:r>
      <w:r>
        <w:rPr>
          <w:color w:val="000000"/>
          <w:sz w:val="24"/>
        </w:rPr>
        <w:t>15%</w:t>
      </w:r>
      <w:r>
        <w:rPr>
          <w:color w:val="000000"/>
          <w:sz w:val="24"/>
        </w:rPr>
        <w:t>的前五只证券；</w:t>
      </w:r>
    </w:p>
    <w:p>
      <w:pPr>
        <w:pStyle w:val="TextBody"/>
        <w:ind w:firstLine="400"/>
        <w:rPr/>
      </w:pPr>
      <w:r>
        <w:rPr>
          <w:color w:val="000000"/>
          <w:sz w:val="24"/>
        </w:rPr>
        <w:t>价格振幅的计算公式为：</w:t>
      </w:r>
    </w:p>
    <w:p>
      <w:pPr>
        <w:pStyle w:val="TextBody"/>
        <w:ind w:firstLine="400"/>
        <w:rPr/>
      </w:pPr>
      <w:r>
        <w:rPr>
          <w:color w:val="000000"/>
          <w:sz w:val="24"/>
        </w:rPr>
        <w:t>价格振幅</w:t>
      </w:r>
      <w:r>
        <w:rPr>
          <w:color w:val="000000"/>
          <w:sz w:val="24"/>
        </w:rPr>
        <w:t>=</w:t>
      </w:r>
      <w:r>
        <w:rPr>
          <w:color w:val="000000"/>
          <w:sz w:val="24"/>
        </w:rPr>
        <w:t>（当日最高价</w:t>
      </w:r>
      <w:r>
        <w:rPr>
          <w:color w:val="000000"/>
          <w:sz w:val="24"/>
        </w:rPr>
        <w:t>-</w:t>
      </w:r>
      <w:r>
        <w:rPr>
          <w:color w:val="000000"/>
          <w:sz w:val="24"/>
        </w:rPr>
        <w:t>当日最低价）</w:t>
      </w:r>
      <w:r>
        <w:rPr>
          <w:color w:val="000000"/>
          <w:sz w:val="24"/>
        </w:rPr>
        <w:t>/</w:t>
      </w:r>
      <w:r>
        <w:rPr>
          <w:color w:val="000000"/>
          <w:sz w:val="24"/>
        </w:rPr>
        <w:t>当日最低价</w:t>
      </w:r>
      <w:r>
        <w:rPr>
          <w:color w:val="000000"/>
          <w:sz w:val="24"/>
        </w:rPr>
        <w:t>×100%</w:t>
      </w:r>
    </w:p>
    <w:p>
      <w:pPr>
        <w:pStyle w:val="TextBody"/>
        <w:ind w:firstLine="400"/>
        <w:rPr/>
      </w:pPr>
      <w:r>
        <w:rPr>
          <w:color w:val="000000"/>
          <w:sz w:val="24"/>
        </w:rPr>
        <w:t>（三）当日换手率达到</w:t>
      </w:r>
      <w:r>
        <w:rPr>
          <w:color w:val="000000"/>
          <w:sz w:val="24"/>
        </w:rPr>
        <w:t>20%</w:t>
      </w:r>
      <w:r>
        <w:rPr>
          <w:color w:val="000000"/>
          <w:sz w:val="24"/>
        </w:rPr>
        <w:t>的前五只证券；</w:t>
      </w:r>
    </w:p>
    <w:p>
      <w:pPr>
        <w:pStyle w:val="TextBody"/>
        <w:ind w:firstLine="400"/>
        <w:rPr/>
      </w:pPr>
      <w:r>
        <w:rPr>
          <w:color w:val="000000"/>
          <w:sz w:val="24"/>
        </w:rPr>
        <w:t>换手率的计算公式为：换手率</w:t>
      </w:r>
      <w:r>
        <w:rPr>
          <w:color w:val="000000"/>
          <w:sz w:val="24"/>
        </w:rPr>
        <w:t>=</w:t>
      </w:r>
      <w:r>
        <w:rPr>
          <w:color w:val="000000"/>
          <w:sz w:val="24"/>
        </w:rPr>
        <w:t>成交股数</w:t>
      </w:r>
      <w:r>
        <w:rPr>
          <w:color w:val="000000"/>
          <w:sz w:val="24"/>
        </w:rPr>
        <w:t>/</w:t>
      </w:r>
      <w:r>
        <w:rPr>
          <w:color w:val="000000"/>
          <w:sz w:val="24"/>
        </w:rPr>
        <w:t>无限售条件股份总数</w:t>
      </w:r>
      <w:r>
        <w:rPr>
          <w:color w:val="000000"/>
          <w:sz w:val="24"/>
        </w:rPr>
        <w:t>×100%</w:t>
      </w:r>
    </w:p>
    <w:p>
      <w:pPr>
        <w:pStyle w:val="TextBody"/>
        <w:ind w:firstLine="400"/>
        <w:rPr/>
      </w:pPr>
      <w:r>
        <w:rPr>
          <w:color w:val="000000"/>
          <w:sz w:val="24"/>
        </w:rPr>
        <w:t>收盘价涨跌幅偏离值、价格振幅或换手率相同的，依次按成交金额和成交量选取。</w:t>
      </w:r>
    </w:p>
    <w:p>
      <w:pPr>
        <w:pStyle w:val="TextBody"/>
        <w:ind w:firstLine="400"/>
        <w:rPr/>
      </w:pPr>
      <w:r>
        <w:rPr>
          <w:color w:val="000000"/>
          <w:sz w:val="24"/>
        </w:rPr>
        <w:t>主板</w:t>
      </w:r>
      <w:r>
        <w:rPr>
          <w:color w:val="000000"/>
          <w:sz w:val="24"/>
        </w:rPr>
        <w:t>A</w:t>
      </w:r>
      <w:r>
        <w:rPr>
          <w:color w:val="000000"/>
          <w:sz w:val="24"/>
        </w:rPr>
        <w:t>股股票、中小企业板股票、创业板股票、</w:t>
      </w:r>
      <w:r>
        <w:rPr>
          <w:color w:val="000000"/>
          <w:sz w:val="24"/>
        </w:rPr>
        <w:t>B</w:t>
      </w:r>
      <w:r>
        <w:rPr>
          <w:color w:val="000000"/>
          <w:sz w:val="24"/>
        </w:rPr>
        <w:t>股股票、封闭式基金的对应分类指数分别是本所编制的深证</w:t>
      </w:r>
      <w:r>
        <w:rPr>
          <w:color w:val="000000"/>
          <w:sz w:val="24"/>
        </w:rPr>
        <w:t>A</w:t>
      </w:r>
      <w:r>
        <w:rPr>
          <w:color w:val="000000"/>
          <w:sz w:val="24"/>
        </w:rPr>
        <w:t>股指数、中小板综合指数、创业板综合指数、深证</w:t>
      </w:r>
      <w:r>
        <w:rPr>
          <w:color w:val="000000"/>
          <w:sz w:val="24"/>
        </w:rPr>
        <w:t>B</w:t>
      </w:r>
      <w:r>
        <w:rPr>
          <w:color w:val="000000"/>
          <w:sz w:val="24"/>
        </w:rPr>
        <w:t>股指数和深证基金指数。</w:t>
      </w:r>
    </w:p>
    <w:p>
      <w:pPr>
        <w:pStyle w:val="标题 3"/>
        <w:spacing w:before="100" w:after="100"/>
        <w:rPr/>
      </w:pPr>
      <w:r>
        <w:rPr>
          <w:b w:val="true"/>
          <w:color w:val="000000"/>
          <w:sz w:val="28"/>
        </w:rPr>
        <w:t>5.4.2</w:t>
      </w:r>
    </w:p>
    <w:p>
      <w:pPr>
        <w:pStyle w:val="TextBody"/>
        <w:ind w:firstLine="400"/>
        <w:rPr/>
      </w:pPr>
      <w:r>
        <w:rPr>
          <w:color w:val="000000"/>
          <w:sz w:val="24"/>
        </w:rPr>
        <w:t>第</w:t>
      </w:r>
      <w:r>
        <w:rPr>
          <w:color w:val="000000"/>
          <w:sz w:val="24"/>
        </w:rPr>
        <w:t>3.3.17</w:t>
      </w:r>
      <w:r>
        <w:rPr>
          <w:color w:val="000000"/>
          <w:sz w:val="24"/>
        </w:rPr>
        <w:t>条规定的无价格涨跌幅限制股票，本所公布其当日买入、卖出金额最大的五家会员证券营业部或交易单元的名称及其各自的买入、卖出金额。</w:t>
      </w:r>
    </w:p>
    <w:p>
      <w:pPr>
        <w:pStyle w:val="标题 3"/>
        <w:spacing w:before="100" w:after="100"/>
        <w:rPr/>
      </w:pPr>
      <w:r>
        <w:rPr>
          <w:b w:val="true"/>
          <w:color w:val="000000"/>
          <w:sz w:val="28"/>
        </w:rPr>
        <w:t>5.4.3</w:t>
      </w:r>
    </w:p>
    <w:p>
      <w:pPr>
        <w:pStyle w:val="TextBody"/>
        <w:ind w:firstLine="400"/>
        <w:rPr/>
      </w:pPr>
      <w:r>
        <w:rPr>
          <w:color w:val="000000"/>
          <w:sz w:val="24"/>
        </w:rPr>
        <w:t>股票、封闭式基金竞价交易出现下列情形之一的，属于异常波动，本所分别公布其在交易异常波动期间累计买入、卖出金额最大五家会员证券营业部或交易单元的名称及其各自累计买入、卖出金额：</w:t>
      </w:r>
    </w:p>
    <w:p>
      <w:pPr>
        <w:pStyle w:val="TextBody"/>
        <w:ind w:firstLine="400"/>
        <w:rPr/>
      </w:pPr>
      <w:r>
        <w:rPr>
          <w:color w:val="000000"/>
          <w:sz w:val="24"/>
        </w:rPr>
        <w:t>（一）连续三个交易日内日收盘价涨跌幅偏离值累计达到</w:t>
      </w:r>
      <w:r>
        <w:rPr>
          <w:color w:val="000000"/>
          <w:sz w:val="24"/>
        </w:rPr>
        <w:t>±20%</w:t>
      </w:r>
      <w:r>
        <w:rPr>
          <w:color w:val="000000"/>
          <w:sz w:val="24"/>
        </w:rPr>
        <w:t>的；</w:t>
      </w:r>
    </w:p>
    <w:p>
      <w:pPr>
        <w:pStyle w:val="TextBody"/>
        <w:ind w:firstLine="400"/>
        <w:rPr/>
      </w:pPr>
      <w:r>
        <w:rPr>
          <w:color w:val="000000"/>
          <w:sz w:val="24"/>
        </w:rPr>
        <w:t>（二）</w:t>
      </w:r>
      <w:r>
        <w:rPr>
          <w:color w:val="000000"/>
          <w:sz w:val="24"/>
        </w:rPr>
        <w:t>ST</w:t>
      </w:r>
      <w:r>
        <w:rPr>
          <w:color w:val="000000"/>
          <w:sz w:val="24"/>
        </w:rPr>
        <w:t>和</w:t>
      </w:r>
      <w:r>
        <w:rPr>
          <w:color w:val="000000"/>
          <w:sz w:val="24"/>
        </w:rPr>
        <w:t>*ST</w:t>
      </w:r>
      <w:r>
        <w:rPr>
          <w:color w:val="000000"/>
          <w:sz w:val="24"/>
        </w:rPr>
        <w:t>股票连续三个交易日内日收盘价涨跌幅偏离值累计达到</w:t>
      </w:r>
      <w:r>
        <w:rPr>
          <w:color w:val="000000"/>
          <w:sz w:val="24"/>
        </w:rPr>
        <w:t>±12%</w:t>
      </w:r>
      <w:r>
        <w:rPr>
          <w:color w:val="000000"/>
          <w:sz w:val="24"/>
        </w:rPr>
        <w:t>的；</w:t>
      </w:r>
    </w:p>
    <w:p>
      <w:pPr>
        <w:pStyle w:val="TextBody"/>
        <w:ind w:firstLine="400"/>
        <w:rPr/>
      </w:pPr>
      <w:r>
        <w:rPr>
          <w:color w:val="000000"/>
          <w:sz w:val="24"/>
        </w:rPr>
        <w:t>（三）连续三个交易日内日均换手率与前五个交易日的日均换手率的比值达到</w:t>
      </w:r>
      <w:r>
        <w:rPr>
          <w:color w:val="000000"/>
          <w:sz w:val="24"/>
        </w:rPr>
        <w:t>30</w:t>
      </w:r>
      <w:r>
        <w:rPr>
          <w:color w:val="000000"/>
          <w:sz w:val="24"/>
        </w:rPr>
        <w:t>倍，且该证券连续三个交易日内的累计换手率达到</w:t>
      </w:r>
      <w:r>
        <w:rPr>
          <w:color w:val="000000"/>
          <w:sz w:val="24"/>
        </w:rPr>
        <w:t>20%</w:t>
      </w:r>
      <w:r>
        <w:rPr>
          <w:color w:val="000000"/>
          <w:sz w:val="24"/>
        </w:rPr>
        <w:t>的；</w:t>
      </w:r>
    </w:p>
    <w:p>
      <w:pPr>
        <w:pStyle w:val="TextBody"/>
        <w:ind w:firstLine="400"/>
        <w:rPr/>
      </w:pPr>
      <w:r>
        <w:rPr>
          <w:color w:val="000000"/>
          <w:sz w:val="24"/>
        </w:rPr>
        <w:t>（四）证监会或本所认为属于异常波动的其他情形。异常波动指标自相关信息披露义务人发布异常波动公告或复牌之日起重新计算。</w:t>
      </w:r>
    </w:p>
    <w:p>
      <w:pPr>
        <w:pStyle w:val="TextBody"/>
        <w:ind w:firstLine="400"/>
        <w:rPr/>
      </w:pPr>
      <w:r>
        <w:rPr>
          <w:color w:val="000000"/>
          <w:sz w:val="24"/>
        </w:rPr>
        <w:t>第</w:t>
      </w:r>
      <w:r>
        <w:rPr>
          <w:color w:val="000000"/>
          <w:sz w:val="24"/>
        </w:rPr>
        <w:t>3.3.17</w:t>
      </w:r>
      <w:r>
        <w:rPr>
          <w:color w:val="000000"/>
          <w:sz w:val="24"/>
        </w:rPr>
        <w:t>条规定的无价格涨跌幅限制股票不纳入异常波动指标的计算。</w:t>
      </w:r>
    </w:p>
    <w:p>
      <w:pPr>
        <w:pStyle w:val="标题 3"/>
        <w:spacing w:before="100" w:after="100"/>
        <w:rPr/>
      </w:pPr>
      <w:r>
        <w:rPr>
          <w:b w:val="true"/>
          <w:color w:val="000000"/>
          <w:sz w:val="28"/>
        </w:rPr>
        <w:t>5.4.4</w:t>
      </w:r>
    </w:p>
    <w:p>
      <w:pPr>
        <w:pStyle w:val="TextBody"/>
        <w:ind w:firstLine="400"/>
        <w:rPr/>
      </w:pPr>
      <w:r>
        <w:rPr>
          <w:color w:val="000000"/>
          <w:sz w:val="24"/>
        </w:rPr>
        <w:t>证券交易公开信息涉及机构专用交易单元的，公布名称为“机构专用”。</w:t>
      </w:r>
    </w:p>
    <w:p>
      <w:pPr>
        <w:pStyle w:val="Heading1"/>
        <w:rPr/>
      </w:pPr>
      <w:r>
        <w:rPr>
          <w:color w:val="000000"/>
          <w:sz w:val="24"/>
        </w:rPr>
        <w:t>第六章 证券交易监督</w:t>
      </w:r>
    </w:p>
    <w:p>
      <w:pPr>
        <w:pStyle w:val="标题 3"/>
        <w:spacing w:before="100" w:after="100"/>
        <w:rPr/>
      </w:pPr>
      <w:r>
        <w:rPr>
          <w:b w:val="true"/>
          <w:color w:val="000000"/>
          <w:sz w:val="28"/>
        </w:rPr>
        <w:t>6.1</w:t>
      </w:r>
    </w:p>
    <w:p>
      <w:pPr>
        <w:pStyle w:val="TextBody"/>
        <w:ind w:firstLine="400"/>
        <w:rPr/>
      </w:pPr>
      <w:r>
        <w:rPr>
          <w:color w:val="000000"/>
          <w:sz w:val="24"/>
        </w:rPr>
        <w:t>本所对证券交易中的下列事项，予以重点监控：</w:t>
      </w:r>
    </w:p>
    <w:p>
      <w:pPr>
        <w:pStyle w:val="TextBody"/>
        <w:ind w:firstLine="400"/>
        <w:rPr/>
      </w:pPr>
      <w:r>
        <w:rPr>
          <w:color w:val="000000"/>
          <w:sz w:val="24"/>
        </w:rPr>
        <w:t>（一）涉嫌内幕交易、操纵市场等违法违规行为；</w:t>
      </w:r>
    </w:p>
    <w:p>
      <w:pPr>
        <w:pStyle w:val="TextBody"/>
        <w:ind w:firstLine="400"/>
        <w:rPr/>
      </w:pPr>
      <w:r>
        <w:rPr>
          <w:color w:val="000000"/>
          <w:sz w:val="24"/>
        </w:rPr>
        <w:t>（二）证券买卖的时间、数量、方式等受到法律、行政法规、部门规章和规范性文件及本所业务规则等相关规定限制的行为；</w:t>
      </w:r>
    </w:p>
    <w:p>
      <w:pPr>
        <w:pStyle w:val="TextBody"/>
        <w:ind w:firstLine="400"/>
        <w:rPr/>
      </w:pPr>
      <w:r>
        <w:rPr>
          <w:color w:val="000000"/>
          <w:sz w:val="24"/>
        </w:rPr>
        <w:t>（三）可能影响证券交易价格或者证券交易量的异常交易行为；</w:t>
      </w:r>
    </w:p>
    <w:p>
      <w:pPr>
        <w:pStyle w:val="TextBody"/>
        <w:ind w:firstLine="400"/>
        <w:rPr/>
      </w:pPr>
      <w:r>
        <w:rPr>
          <w:color w:val="000000"/>
          <w:sz w:val="24"/>
        </w:rPr>
        <w:t>（四）证券交易价格或者证券交易量明显异常的情形；</w:t>
      </w:r>
    </w:p>
    <w:p>
      <w:pPr>
        <w:pStyle w:val="TextBody"/>
        <w:ind w:firstLine="400"/>
        <w:rPr/>
      </w:pPr>
      <w:r>
        <w:rPr>
          <w:color w:val="000000"/>
          <w:sz w:val="24"/>
        </w:rPr>
        <w:t>（五）本所认为需要重点监控的其他事项。</w:t>
      </w:r>
    </w:p>
    <w:p>
      <w:pPr>
        <w:pStyle w:val="标题 3"/>
        <w:spacing w:before="100" w:after="100"/>
        <w:rPr/>
      </w:pPr>
      <w:r>
        <w:rPr>
          <w:b w:val="true"/>
          <w:color w:val="000000"/>
          <w:sz w:val="28"/>
        </w:rPr>
        <w:t>6.2</w:t>
      </w:r>
    </w:p>
    <w:p>
      <w:pPr>
        <w:pStyle w:val="TextBody"/>
        <w:ind w:firstLine="400"/>
        <w:rPr/>
      </w:pPr>
      <w:r>
        <w:rPr>
          <w:color w:val="000000"/>
          <w:sz w:val="24"/>
        </w:rPr>
        <w:t>可能影响证券交易价格或者证券交易量的异常交易行为包括：</w:t>
      </w:r>
    </w:p>
    <w:p>
      <w:pPr>
        <w:pStyle w:val="TextBody"/>
        <w:ind w:firstLine="400"/>
        <w:rPr/>
      </w:pPr>
      <w:r>
        <w:rPr>
          <w:color w:val="000000"/>
          <w:sz w:val="24"/>
        </w:rPr>
        <w:t>（一）可能对证券交易价格产生重大影响的信息披露前，大量或持续买入或卖出相关证券；</w:t>
      </w:r>
    </w:p>
    <w:p>
      <w:pPr>
        <w:pStyle w:val="TextBody"/>
        <w:ind w:firstLine="400"/>
        <w:rPr/>
      </w:pPr>
      <w:r>
        <w:rPr>
          <w:color w:val="000000"/>
          <w:sz w:val="24"/>
        </w:rPr>
        <w:t>（二）单个或两个以上固定的或涉嫌关联的证券账户之间，大量或频繁进行反向交易；</w:t>
      </w:r>
    </w:p>
    <w:p>
      <w:pPr>
        <w:pStyle w:val="TextBody"/>
        <w:ind w:firstLine="400"/>
        <w:rPr/>
      </w:pPr>
      <w:r>
        <w:rPr>
          <w:color w:val="000000"/>
          <w:sz w:val="24"/>
        </w:rPr>
        <w:t>（三）单个或两个以上固定的或涉嫌关联的证券账户，大笔申报、连续申报、密集申报或申报价格明显偏离该证券行情揭示的最新成交价；</w:t>
      </w:r>
    </w:p>
    <w:p>
      <w:pPr>
        <w:pStyle w:val="TextBody"/>
        <w:ind w:firstLine="400"/>
        <w:rPr/>
      </w:pPr>
      <w:r>
        <w:rPr>
          <w:color w:val="000000"/>
          <w:sz w:val="24"/>
        </w:rPr>
        <w:t>（四）单独或合谋，以涨幅或跌幅限制的价格大额申报或连续申报，致使该证券交易价格达到或维持涨幅或跌幅限制；</w:t>
      </w:r>
    </w:p>
    <w:p>
      <w:pPr>
        <w:pStyle w:val="TextBody"/>
        <w:ind w:firstLine="400"/>
        <w:rPr/>
      </w:pPr>
      <w:r>
        <w:rPr>
          <w:color w:val="000000"/>
          <w:sz w:val="24"/>
        </w:rPr>
        <w:t>（五）频繁申报和撤销申报，或大额申报后撤销申报，以影响证券交易价格或误导其他投资者；</w:t>
      </w:r>
    </w:p>
    <w:p>
      <w:pPr>
        <w:pStyle w:val="TextBody"/>
        <w:ind w:firstLine="400"/>
        <w:rPr/>
      </w:pPr>
      <w:r>
        <w:rPr>
          <w:color w:val="000000"/>
          <w:sz w:val="24"/>
        </w:rPr>
        <w:t>（六）集合竞价期间以明显高于前收盘价的价格申报买入后又撤销申报，随后申报卖出该证券，或以明显低于前收盘价的价格申报卖出后又撤销申报，随后申报买入该证券；</w:t>
      </w:r>
    </w:p>
    <w:p>
      <w:pPr>
        <w:pStyle w:val="TextBody"/>
        <w:ind w:firstLine="400"/>
        <w:rPr/>
      </w:pPr>
      <w:r>
        <w:rPr>
          <w:color w:val="000000"/>
          <w:sz w:val="24"/>
        </w:rPr>
        <w:t>（七）对单一证券品种在一段时期内进行大量且连续交易；</w:t>
      </w:r>
    </w:p>
    <w:p>
      <w:pPr>
        <w:pStyle w:val="TextBody"/>
        <w:ind w:firstLine="400"/>
        <w:rPr/>
      </w:pPr>
      <w:r>
        <w:rPr>
          <w:color w:val="000000"/>
          <w:sz w:val="24"/>
        </w:rPr>
        <w:t>（八）同一证券账户、同一会员或同一证券营业部的客户大量或频繁进行日内回转交易；</w:t>
      </w:r>
    </w:p>
    <w:p>
      <w:pPr>
        <w:pStyle w:val="TextBody"/>
        <w:ind w:firstLine="400"/>
        <w:rPr/>
      </w:pPr>
      <w:r>
        <w:rPr>
          <w:color w:val="000000"/>
          <w:sz w:val="24"/>
        </w:rPr>
        <w:t>（九）大量或者频繁进行高买低卖交易；</w:t>
      </w:r>
    </w:p>
    <w:p>
      <w:pPr>
        <w:pStyle w:val="TextBody"/>
        <w:ind w:firstLine="400"/>
        <w:rPr/>
      </w:pPr>
      <w:r>
        <w:rPr>
          <w:color w:val="000000"/>
          <w:sz w:val="24"/>
        </w:rPr>
        <w:t>（十）在证券价格敏感期内，通过异常申报，影响相关证券或其衍生品的交易价格、结算价格或参考价值；</w:t>
      </w:r>
    </w:p>
    <w:p>
      <w:pPr>
        <w:pStyle w:val="TextBody"/>
        <w:ind w:firstLine="400"/>
        <w:rPr/>
      </w:pPr>
      <w:r>
        <w:rPr>
          <w:color w:val="000000"/>
          <w:sz w:val="24"/>
        </w:rPr>
        <w:t>（十一）单独或合谋，在公开发布投资分析、预测或建议前买入或卖出有关证券，或进行与自身公开发布的投资分析、预测或建议相背离的证券交易；</w:t>
      </w:r>
    </w:p>
    <w:p>
      <w:pPr>
        <w:pStyle w:val="TextBody"/>
        <w:ind w:firstLine="400"/>
        <w:rPr/>
      </w:pPr>
      <w:r>
        <w:rPr>
          <w:color w:val="000000"/>
          <w:sz w:val="24"/>
        </w:rPr>
        <w:t>（十二）在综合协议交易平台进行虚假或其他扰乱市场秩序的申报；</w:t>
      </w:r>
    </w:p>
    <w:p>
      <w:pPr>
        <w:pStyle w:val="TextBody"/>
        <w:ind w:firstLine="400"/>
        <w:rPr/>
      </w:pPr>
      <w:r>
        <w:rPr>
          <w:color w:val="000000"/>
          <w:sz w:val="24"/>
        </w:rPr>
        <w:t>（十三）本所认为需要重点监控的其他异常交易行为。</w:t>
      </w:r>
    </w:p>
    <w:p>
      <w:pPr>
        <w:pStyle w:val="标题 3"/>
        <w:spacing w:before="100" w:after="100"/>
        <w:rPr/>
      </w:pPr>
      <w:r>
        <w:rPr>
          <w:b w:val="true"/>
          <w:color w:val="000000"/>
          <w:sz w:val="28"/>
        </w:rPr>
        <w:t>6.3</w:t>
      </w:r>
    </w:p>
    <w:p>
      <w:pPr>
        <w:pStyle w:val="TextBody"/>
        <w:ind w:firstLine="400"/>
        <w:rPr/>
      </w:pPr>
      <w:r>
        <w:rPr>
          <w:color w:val="000000"/>
          <w:sz w:val="24"/>
        </w:rPr>
        <w:t>证券交易价格或证券交易量明显异常的情形包括：</w:t>
      </w:r>
    </w:p>
    <w:p>
      <w:pPr>
        <w:pStyle w:val="TextBody"/>
        <w:ind w:firstLine="400"/>
        <w:rPr/>
      </w:pPr>
      <w:r>
        <w:rPr>
          <w:color w:val="000000"/>
          <w:sz w:val="24"/>
        </w:rPr>
        <w:t>（一）同一证券营业部或同一地区的证券营业部集中买入或卖出同一证券且数量较大；</w:t>
      </w:r>
    </w:p>
    <w:p>
      <w:pPr>
        <w:pStyle w:val="TextBody"/>
        <w:ind w:firstLine="400"/>
        <w:rPr/>
      </w:pPr>
      <w:r>
        <w:rPr>
          <w:color w:val="000000"/>
          <w:sz w:val="24"/>
        </w:rPr>
        <w:t>（二）证券交易价格连续大幅上涨或下跌，明显偏离同期相关指数的涨幅或跌幅，且上市公司无重大事项公告；</w:t>
      </w:r>
    </w:p>
    <w:p>
      <w:pPr>
        <w:pStyle w:val="TextBody"/>
        <w:ind w:firstLine="400"/>
        <w:rPr/>
      </w:pPr>
      <w:r>
        <w:rPr>
          <w:color w:val="000000"/>
          <w:sz w:val="24"/>
        </w:rPr>
        <w:t>（三）本所认为需要重点监控的其他异常交易情形。</w:t>
      </w:r>
    </w:p>
    <w:p>
      <w:pPr>
        <w:pStyle w:val="标题 3"/>
        <w:spacing w:before="100" w:after="100"/>
        <w:rPr/>
      </w:pPr>
      <w:r>
        <w:rPr>
          <w:b w:val="true"/>
          <w:color w:val="000000"/>
          <w:sz w:val="28"/>
        </w:rPr>
        <w:t>6.4</w:t>
      </w:r>
    </w:p>
    <w:p>
      <w:pPr>
        <w:pStyle w:val="TextBody"/>
        <w:ind w:firstLine="400"/>
        <w:rPr/>
      </w:pPr>
      <w:r>
        <w:rPr>
          <w:color w:val="000000"/>
          <w:sz w:val="24"/>
        </w:rPr>
        <w:t>本所根据市场需要，可以联合其他证券、期货交易所等机构，对出现第</w:t>
      </w:r>
      <w:r>
        <w:rPr>
          <w:color w:val="000000"/>
          <w:sz w:val="24"/>
        </w:rPr>
        <w:t>6.2</w:t>
      </w:r>
      <w:r>
        <w:rPr>
          <w:color w:val="000000"/>
          <w:sz w:val="24"/>
        </w:rPr>
        <w:t>条第（十）项等情形进行调查。</w:t>
      </w:r>
    </w:p>
    <w:p>
      <w:pPr>
        <w:pStyle w:val="标题 3"/>
        <w:spacing w:before="100" w:after="100"/>
        <w:rPr/>
      </w:pPr>
      <w:r>
        <w:rPr>
          <w:b w:val="true"/>
          <w:color w:val="000000"/>
          <w:sz w:val="28"/>
        </w:rPr>
        <w:t>6.5</w:t>
      </w:r>
    </w:p>
    <w:p>
      <w:pPr>
        <w:pStyle w:val="TextBody"/>
        <w:ind w:firstLine="400"/>
        <w:rPr/>
      </w:pPr>
      <w:r>
        <w:rPr>
          <w:color w:val="000000"/>
          <w:sz w:val="24"/>
        </w:rPr>
        <w:t>会员发现客户的证券交易出现第</w:t>
      </w:r>
      <w:r>
        <w:rPr>
          <w:color w:val="000000"/>
          <w:sz w:val="24"/>
        </w:rPr>
        <w:t>6.1</w:t>
      </w:r>
      <w:r>
        <w:rPr>
          <w:color w:val="000000"/>
          <w:sz w:val="24"/>
        </w:rPr>
        <w:t>条所列重点监控事项之一，且可能严重影响证券交易秩序的，应当予以提醒，并及时向本所报告。</w:t>
      </w:r>
    </w:p>
    <w:p>
      <w:pPr>
        <w:pStyle w:val="标题 3"/>
        <w:spacing w:before="100" w:after="100"/>
        <w:rPr/>
      </w:pPr>
      <w:r>
        <w:rPr>
          <w:b w:val="true"/>
          <w:color w:val="000000"/>
          <w:sz w:val="28"/>
        </w:rPr>
        <w:t>6.6</w:t>
      </w:r>
    </w:p>
    <w:p>
      <w:pPr>
        <w:pStyle w:val="TextBody"/>
        <w:ind w:firstLine="400"/>
        <w:rPr/>
      </w:pPr>
      <w:r>
        <w:rPr>
          <w:color w:val="000000"/>
          <w:sz w:val="24"/>
        </w:rPr>
        <w:t>本所可以针对证券交易中重点监控事项进行现场或非现场调查，会员及其证券营业部、其他交易参与人以及投资者应当予以配合。</w:t>
      </w:r>
    </w:p>
    <w:p>
      <w:pPr>
        <w:pStyle w:val="标题 3"/>
        <w:spacing w:before="100" w:after="100"/>
        <w:rPr/>
      </w:pPr>
      <w:r>
        <w:rPr>
          <w:b w:val="true"/>
          <w:color w:val="000000"/>
          <w:sz w:val="28"/>
        </w:rPr>
        <w:t>6.7</w:t>
      </w:r>
    </w:p>
    <w:p>
      <w:pPr>
        <w:pStyle w:val="TextBody"/>
        <w:ind w:firstLine="400"/>
        <w:rPr/>
      </w:pPr>
      <w:r>
        <w:rPr>
          <w:color w:val="000000"/>
          <w:sz w:val="24"/>
        </w:rPr>
        <w:t>本所在现场或非现场调查中，可以根据需要要求相关会员及其证券营业部、其他交易参与人以及投资者及时、准确、完整地提供下列文件和资料：</w:t>
      </w:r>
    </w:p>
    <w:p>
      <w:pPr>
        <w:pStyle w:val="TextBody"/>
        <w:ind w:firstLine="400"/>
        <w:rPr/>
      </w:pPr>
      <w:r>
        <w:rPr>
          <w:color w:val="000000"/>
          <w:sz w:val="24"/>
        </w:rPr>
        <w:t>（一）投资者的开户资料、授权委托书、资金账户情况和相关证券账户的交易情况等；</w:t>
      </w:r>
    </w:p>
    <w:p>
      <w:pPr>
        <w:pStyle w:val="TextBody"/>
        <w:ind w:firstLine="400"/>
        <w:rPr/>
      </w:pPr>
      <w:r>
        <w:rPr>
          <w:color w:val="000000"/>
          <w:sz w:val="24"/>
        </w:rPr>
        <w:t>（二）相关证券账户或资金账户的实际控制人和操作人情况、资金来源以及相关账户间是否存在关联的说明等；</w:t>
      </w:r>
    </w:p>
    <w:p>
      <w:pPr>
        <w:pStyle w:val="TextBody"/>
        <w:ind w:firstLine="400"/>
        <w:rPr/>
      </w:pPr>
      <w:r>
        <w:rPr>
          <w:color w:val="000000"/>
          <w:sz w:val="24"/>
        </w:rPr>
        <w:t>（三）对证券交易中重点监控事项的解释；</w:t>
      </w:r>
    </w:p>
    <w:p>
      <w:pPr>
        <w:pStyle w:val="TextBody"/>
        <w:ind w:firstLine="400"/>
        <w:rPr/>
      </w:pPr>
      <w:r>
        <w:rPr>
          <w:color w:val="000000"/>
          <w:sz w:val="24"/>
        </w:rPr>
        <w:t>（四）其他与本所重点监控事项有关的资料。</w:t>
      </w:r>
    </w:p>
    <w:p>
      <w:pPr>
        <w:pStyle w:val="标题 3"/>
        <w:spacing w:before="100" w:after="100"/>
        <w:rPr/>
      </w:pPr>
      <w:r>
        <w:rPr>
          <w:b w:val="true"/>
          <w:color w:val="000000"/>
          <w:sz w:val="28"/>
        </w:rPr>
        <w:t>6.8</w:t>
      </w:r>
    </w:p>
    <w:p>
      <w:pPr>
        <w:pStyle w:val="TextBody"/>
        <w:ind w:firstLine="400"/>
        <w:rPr/>
      </w:pPr>
      <w:r>
        <w:rPr>
          <w:color w:val="000000"/>
          <w:sz w:val="24"/>
        </w:rPr>
        <w:t>对第</w:t>
      </w:r>
      <w:r>
        <w:rPr>
          <w:color w:val="000000"/>
          <w:sz w:val="24"/>
        </w:rPr>
        <w:t>6.1</w:t>
      </w:r>
      <w:r>
        <w:rPr>
          <w:color w:val="000000"/>
          <w:sz w:val="24"/>
        </w:rPr>
        <w:t>条所列重点监控事项中情节严重的行为，</w:t>
      </w:r>
    </w:p>
    <w:p>
      <w:pPr>
        <w:pStyle w:val="TextBody"/>
        <w:ind w:firstLine="400"/>
        <w:rPr/>
      </w:pPr>
      <w:r>
        <w:rPr>
          <w:color w:val="000000"/>
          <w:sz w:val="24"/>
        </w:rPr>
        <w:t>本所可以视情况采取下列措施：</w:t>
      </w:r>
    </w:p>
    <w:p>
      <w:pPr>
        <w:pStyle w:val="TextBody"/>
        <w:ind w:firstLine="400"/>
        <w:rPr/>
      </w:pPr>
      <w:r>
        <w:rPr>
          <w:color w:val="000000"/>
          <w:sz w:val="24"/>
        </w:rPr>
        <w:t>（一）口头或书面警示；</w:t>
      </w:r>
    </w:p>
    <w:p>
      <w:pPr>
        <w:pStyle w:val="TextBody"/>
        <w:ind w:firstLine="400"/>
        <w:rPr/>
      </w:pPr>
      <w:r>
        <w:rPr>
          <w:color w:val="000000"/>
          <w:sz w:val="24"/>
        </w:rPr>
        <w:t>（二）约见谈话；</w:t>
      </w:r>
    </w:p>
    <w:p>
      <w:pPr>
        <w:pStyle w:val="TextBody"/>
        <w:ind w:firstLine="400"/>
        <w:rPr/>
      </w:pPr>
      <w:r>
        <w:rPr>
          <w:color w:val="000000"/>
          <w:sz w:val="24"/>
        </w:rPr>
        <w:t>（三）要求提交书面承诺；</w:t>
      </w:r>
    </w:p>
    <w:p>
      <w:pPr>
        <w:pStyle w:val="TextBody"/>
        <w:ind w:firstLine="400"/>
        <w:rPr/>
      </w:pPr>
      <w:r>
        <w:rPr>
          <w:color w:val="000000"/>
          <w:sz w:val="24"/>
        </w:rPr>
        <w:t>（四）限制相关证券账户交易；</w:t>
      </w:r>
    </w:p>
    <w:p>
      <w:pPr>
        <w:pStyle w:val="TextBody"/>
        <w:ind w:firstLine="400"/>
        <w:rPr/>
      </w:pPr>
      <w:r>
        <w:rPr>
          <w:color w:val="000000"/>
          <w:sz w:val="24"/>
        </w:rPr>
        <w:t>（五）上报证监会。对第（四）项措施有异议的，可以自接到相关措施执行通知之日起</w:t>
      </w:r>
      <w:r>
        <w:rPr>
          <w:color w:val="000000"/>
          <w:sz w:val="24"/>
        </w:rPr>
        <w:t>15</w:t>
      </w:r>
      <w:r>
        <w:rPr>
          <w:color w:val="000000"/>
          <w:sz w:val="24"/>
        </w:rPr>
        <w:t>日内，向本所申请复核。复核期间不停止该措施的执行。</w:t>
      </w:r>
    </w:p>
    <w:p>
      <w:pPr>
        <w:pStyle w:val="标题 3"/>
        <w:spacing w:before="100" w:after="100"/>
        <w:rPr/>
      </w:pPr>
      <w:r>
        <w:rPr>
          <w:b w:val="true"/>
          <w:color w:val="000000"/>
          <w:sz w:val="28"/>
        </w:rPr>
        <w:t>6.9</w:t>
      </w:r>
    </w:p>
    <w:p>
      <w:pPr>
        <w:pStyle w:val="TextBody"/>
        <w:ind w:firstLine="400"/>
        <w:rPr/>
      </w:pPr>
      <w:r>
        <w:rPr>
          <w:color w:val="000000"/>
          <w:sz w:val="24"/>
        </w:rPr>
        <w:t>本所对证券交易进行风险监测。出现重大异常波动的，本所可以采取限制交易、强制停牌等处置措施，并向证监会报告；严重影响证券市场稳定的，本所可以采取临时停市等处置措施并公告。具体办法由本所另行规定。</w:t>
      </w:r>
    </w:p>
    <w:p>
      <w:pPr>
        <w:pStyle w:val="Heading1"/>
        <w:rPr/>
      </w:pPr>
      <w:r>
        <w:rPr>
          <w:color w:val="000000"/>
          <w:sz w:val="24"/>
        </w:rPr>
        <w:t>第七章 交易异常情况处理</w:t>
      </w:r>
    </w:p>
    <w:p>
      <w:pPr>
        <w:pStyle w:val="标题 3"/>
        <w:spacing w:before="100" w:after="100"/>
        <w:rPr/>
      </w:pPr>
      <w:r>
        <w:rPr>
          <w:b w:val="true"/>
          <w:color w:val="000000"/>
          <w:sz w:val="28"/>
        </w:rPr>
        <w:t>7.1</w:t>
      </w:r>
    </w:p>
    <w:p>
      <w:pPr>
        <w:pStyle w:val="TextBody"/>
        <w:ind w:firstLine="400"/>
        <w:rPr/>
      </w:pPr>
      <w:r>
        <w:rPr>
          <w:color w:val="000000"/>
          <w:sz w:val="24"/>
        </w:rPr>
        <w:t>因下列突发性事件，导致部分或全部交易不能正常进行的，为维护证券交易正常秩序和市场公平，本所可以决定采取技术性停牌、临时停市等措施：</w:t>
      </w:r>
    </w:p>
    <w:p>
      <w:pPr>
        <w:pStyle w:val="TextBody"/>
        <w:ind w:firstLine="400"/>
        <w:rPr/>
      </w:pPr>
      <w:r>
        <w:rPr>
          <w:color w:val="000000"/>
          <w:sz w:val="24"/>
        </w:rPr>
        <w:t>（一）不可抗力；</w:t>
      </w:r>
    </w:p>
    <w:p>
      <w:pPr>
        <w:pStyle w:val="TextBody"/>
        <w:ind w:firstLine="400"/>
        <w:rPr/>
      </w:pPr>
      <w:r>
        <w:rPr>
          <w:color w:val="000000"/>
          <w:sz w:val="24"/>
        </w:rPr>
        <w:t>（二）意外事件；</w:t>
      </w:r>
    </w:p>
    <w:p>
      <w:pPr>
        <w:pStyle w:val="TextBody"/>
        <w:ind w:firstLine="400"/>
        <w:rPr/>
      </w:pPr>
      <w:r>
        <w:rPr>
          <w:color w:val="000000"/>
          <w:sz w:val="24"/>
        </w:rPr>
        <w:t>（三）重大技术故障；</w:t>
      </w:r>
    </w:p>
    <w:p>
      <w:pPr>
        <w:pStyle w:val="TextBody"/>
        <w:ind w:firstLine="400"/>
        <w:rPr/>
      </w:pPr>
      <w:r>
        <w:rPr>
          <w:color w:val="000000"/>
          <w:sz w:val="24"/>
        </w:rPr>
        <w:t>（四）重大人为差错；</w:t>
      </w:r>
    </w:p>
    <w:p>
      <w:pPr>
        <w:pStyle w:val="TextBody"/>
        <w:ind w:firstLine="400"/>
        <w:rPr/>
      </w:pPr>
      <w:r>
        <w:rPr>
          <w:color w:val="000000"/>
          <w:sz w:val="24"/>
        </w:rPr>
        <w:t>（五）本所认定的其他异常情况。</w:t>
      </w:r>
    </w:p>
    <w:p>
      <w:pPr>
        <w:pStyle w:val="TextBody"/>
        <w:ind w:firstLine="400"/>
        <w:rPr/>
      </w:pPr>
      <w:r>
        <w:rPr>
          <w:color w:val="000000"/>
          <w:sz w:val="24"/>
        </w:rPr>
        <w:t>因前款规定的突发性事件导致证券交易结果出现重大异常，按交易结果进行交收将对证券交易正常秩序和市场公平造成重大影响的，本所可以采取取消交易、通知证券登记结算机构暂缓交收等措施。</w:t>
      </w:r>
    </w:p>
    <w:p>
      <w:pPr>
        <w:pStyle w:val="标题 3"/>
        <w:spacing w:before="100" w:after="100"/>
        <w:rPr/>
      </w:pPr>
      <w:r>
        <w:rPr>
          <w:b w:val="true"/>
          <w:color w:val="000000"/>
          <w:sz w:val="28"/>
        </w:rPr>
        <w:t>7.2</w:t>
      </w:r>
    </w:p>
    <w:p>
      <w:pPr>
        <w:pStyle w:val="TextBody"/>
        <w:ind w:firstLine="400"/>
        <w:rPr/>
      </w:pPr>
      <w:r>
        <w:rPr>
          <w:color w:val="000000"/>
          <w:sz w:val="24"/>
        </w:rPr>
        <w:t>出现无法申报或行情传输中断情况的，会员应及时向本所报告。无法申报或行情传输中断的证券营业部数量超过本所全部会员证券营业部总数</w:t>
      </w:r>
      <w:r>
        <w:rPr>
          <w:color w:val="000000"/>
          <w:sz w:val="24"/>
        </w:rPr>
        <w:t>10%</w:t>
      </w:r>
      <w:r>
        <w:rPr>
          <w:color w:val="000000"/>
          <w:sz w:val="24"/>
        </w:rPr>
        <w:t>以上的，属于交易异常情况，本所可以实行临时停市。</w:t>
      </w:r>
    </w:p>
    <w:p>
      <w:pPr>
        <w:pStyle w:val="标题 3"/>
        <w:spacing w:before="100" w:after="100"/>
        <w:rPr/>
      </w:pPr>
      <w:r>
        <w:rPr>
          <w:b w:val="true"/>
          <w:color w:val="000000"/>
          <w:sz w:val="28"/>
        </w:rPr>
        <w:t>7.3</w:t>
      </w:r>
    </w:p>
    <w:p>
      <w:pPr>
        <w:pStyle w:val="TextBody"/>
        <w:ind w:firstLine="400"/>
        <w:rPr/>
      </w:pPr>
      <w:r>
        <w:rPr>
          <w:color w:val="000000"/>
          <w:sz w:val="24"/>
        </w:rPr>
        <w:t>本所认为可能发生第</w:t>
      </w:r>
      <w:r>
        <w:rPr>
          <w:color w:val="000000"/>
          <w:sz w:val="24"/>
        </w:rPr>
        <w:t>7.1</w:t>
      </w:r>
      <w:r>
        <w:rPr>
          <w:color w:val="000000"/>
          <w:sz w:val="24"/>
        </w:rPr>
        <w:t>条、第</w:t>
      </w:r>
      <w:r>
        <w:rPr>
          <w:color w:val="000000"/>
          <w:sz w:val="24"/>
        </w:rPr>
        <w:t>7.2</w:t>
      </w:r>
      <w:r>
        <w:rPr>
          <w:color w:val="000000"/>
          <w:sz w:val="24"/>
        </w:rPr>
        <w:t>条规定的交易异常情况，并严重影响交易正常进行的，可以决定技术性停牌或临时停市。</w:t>
      </w:r>
    </w:p>
    <w:p>
      <w:pPr>
        <w:pStyle w:val="TextBody"/>
        <w:ind w:firstLine="400"/>
        <w:rPr/>
      </w:pPr>
      <w:r>
        <w:rPr>
          <w:color w:val="000000"/>
          <w:sz w:val="24"/>
        </w:rPr>
        <w:t>经证监会要求，本所实行临时停市。</w:t>
      </w:r>
    </w:p>
    <w:p>
      <w:pPr>
        <w:pStyle w:val="标题 3"/>
        <w:spacing w:before="100" w:after="100"/>
        <w:rPr/>
      </w:pPr>
      <w:r>
        <w:rPr>
          <w:b w:val="true"/>
          <w:color w:val="000000"/>
          <w:sz w:val="28"/>
        </w:rPr>
        <w:t>7.4</w:t>
      </w:r>
    </w:p>
    <w:p>
      <w:pPr>
        <w:pStyle w:val="TextBody"/>
        <w:ind w:firstLine="400"/>
        <w:rPr/>
      </w:pPr>
      <w:r>
        <w:rPr>
          <w:color w:val="000000"/>
          <w:sz w:val="24"/>
        </w:rPr>
        <w:t>本所对技术性停牌、临时停市、取消交易、通知证券登记结算机构暂缓交收的决定予以公告，并及时向证监会报告。</w:t>
      </w:r>
    </w:p>
    <w:p>
      <w:pPr>
        <w:pStyle w:val="TextBody"/>
        <w:ind w:firstLine="400"/>
        <w:rPr/>
      </w:pPr>
      <w:r>
        <w:rPr>
          <w:color w:val="000000"/>
          <w:sz w:val="24"/>
        </w:rPr>
        <w:t>技术性停牌或临时停市原因消除后，本所可以决定恢复交易，并予以公告。</w:t>
      </w:r>
    </w:p>
    <w:p>
      <w:pPr>
        <w:pStyle w:val="标题 3"/>
        <w:spacing w:before="100" w:after="100"/>
        <w:rPr/>
      </w:pPr>
      <w:r>
        <w:rPr>
          <w:b w:val="true"/>
          <w:color w:val="000000"/>
          <w:sz w:val="28"/>
        </w:rPr>
        <w:t>7.5</w:t>
      </w:r>
    </w:p>
    <w:p>
      <w:pPr>
        <w:pStyle w:val="TextBody"/>
        <w:ind w:firstLine="400"/>
        <w:rPr/>
      </w:pPr>
      <w:r>
        <w:rPr>
          <w:color w:val="000000"/>
          <w:sz w:val="24"/>
        </w:rPr>
        <w:t>因交易异常情况、重大异常波动及本所采取的相应措施造成损失的，本所不承担民事赔偿责任，但存在重大过错的除外。</w:t>
      </w:r>
    </w:p>
    <w:p>
      <w:pPr>
        <w:pStyle w:val="标题 3"/>
        <w:spacing w:before="100" w:after="100"/>
        <w:rPr/>
      </w:pPr>
      <w:r>
        <w:rPr>
          <w:b w:val="true"/>
          <w:color w:val="000000"/>
          <w:sz w:val="28"/>
        </w:rPr>
        <w:t>7.6</w:t>
      </w:r>
    </w:p>
    <w:p>
      <w:pPr>
        <w:pStyle w:val="TextBody"/>
        <w:ind w:firstLine="400"/>
        <w:rPr/>
      </w:pPr>
      <w:r>
        <w:rPr>
          <w:color w:val="000000"/>
          <w:sz w:val="24"/>
        </w:rPr>
        <w:t>交易异常情况处理的具体规定，由本所另行制定。</w:t>
      </w:r>
    </w:p>
    <w:p>
      <w:pPr>
        <w:pStyle w:val="Heading1"/>
        <w:rPr/>
      </w:pPr>
      <w:r>
        <w:rPr>
          <w:color w:val="000000"/>
          <w:sz w:val="24"/>
        </w:rPr>
        <w:t>第八章 交易纠纷</w:t>
      </w:r>
    </w:p>
    <w:p>
      <w:pPr>
        <w:pStyle w:val="标题 3"/>
        <w:spacing w:before="100" w:after="100"/>
        <w:rPr/>
      </w:pPr>
      <w:r>
        <w:rPr>
          <w:b w:val="true"/>
          <w:color w:val="000000"/>
          <w:sz w:val="28"/>
        </w:rPr>
        <w:t>8.1</w:t>
      </w:r>
    </w:p>
    <w:p>
      <w:pPr>
        <w:pStyle w:val="TextBody"/>
        <w:ind w:firstLine="400"/>
        <w:rPr/>
      </w:pPr>
      <w:r>
        <w:rPr>
          <w:color w:val="000000"/>
          <w:sz w:val="24"/>
        </w:rPr>
        <w:t>交易参与人之间、会员与客户之间发生交易纠纷，相关会员及其他交易参与人应当记录有关情况，以备本所查阅。交易纠纷影响正常交易的，会员及其他交易参与人应当及时向本所报告。</w:t>
      </w:r>
    </w:p>
    <w:p>
      <w:pPr>
        <w:pStyle w:val="标题 3"/>
        <w:spacing w:before="100" w:after="100"/>
        <w:rPr/>
      </w:pPr>
      <w:r>
        <w:rPr>
          <w:b w:val="true"/>
          <w:color w:val="000000"/>
          <w:sz w:val="28"/>
        </w:rPr>
        <w:t>8.2</w:t>
      </w:r>
    </w:p>
    <w:p>
      <w:pPr>
        <w:pStyle w:val="TextBody"/>
        <w:ind w:firstLine="400"/>
        <w:rPr/>
      </w:pPr>
      <w:r>
        <w:rPr>
          <w:color w:val="000000"/>
          <w:sz w:val="24"/>
        </w:rPr>
        <w:t>交易参与人之间、会员与客户之间发生交易纠纷，本所可以按有关规定，提供必要的交易数据。</w:t>
      </w:r>
    </w:p>
    <w:p>
      <w:pPr>
        <w:pStyle w:val="标题 3"/>
        <w:spacing w:before="100" w:after="100"/>
        <w:rPr/>
      </w:pPr>
      <w:r>
        <w:rPr>
          <w:b w:val="true"/>
          <w:color w:val="000000"/>
          <w:sz w:val="28"/>
        </w:rPr>
        <w:t>8.3</w:t>
      </w:r>
    </w:p>
    <w:p>
      <w:pPr>
        <w:pStyle w:val="TextBody"/>
        <w:ind w:firstLine="400"/>
        <w:rPr/>
      </w:pPr>
      <w:r>
        <w:rPr>
          <w:color w:val="000000"/>
          <w:sz w:val="24"/>
        </w:rPr>
        <w:t>客户对交易有疑义的，会员有义务协调处理。</w:t>
      </w:r>
    </w:p>
    <w:p>
      <w:pPr>
        <w:pStyle w:val="Heading1"/>
        <w:rPr/>
      </w:pPr>
      <w:r>
        <w:rPr>
          <w:color w:val="000000"/>
          <w:sz w:val="24"/>
        </w:rPr>
        <w:t>第九章 交易费用</w:t>
      </w:r>
    </w:p>
    <w:p>
      <w:pPr>
        <w:pStyle w:val="标题 3"/>
        <w:spacing w:before="100" w:after="100"/>
        <w:rPr/>
      </w:pPr>
      <w:r>
        <w:rPr>
          <w:b w:val="true"/>
          <w:color w:val="000000"/>
          <w:sz w:val="28"/>
        </w:rPr>
        <w:t>9.1</w:t>
      </w:r>
    </w:p>
    <w:p>
      <w:pPr>
        <w:pStyle w:val="TextBody"/>
        <w:ind w:firstLine="400"/>
        <w:rPr/>
      </w:pPr>
      <w:r>
        <w:rPr>
          <w:color w:val="000000"/>
          <w:sz w:val="24"/>
        </w:rPr>
        <w:t>投资者买卖证券成交的，应当按规定向会员交纳佣金。</w:t>
      </w:r>
    </w:p>
    <w:p>
      <w:pPr>
        <w:pStyle w:val="标题 3"/>
        <w:spacing w:before="100" w:after="100"/>
        <w:rPr/>
      </w:pPr>
      <w:r>
        <w:rPr>
          <w:b w:val="true"/>
          <w:color w:val="000000"/>
          <w:sz w:val="28"/>
        </w:rPr>
        <w:t>9.2</w:t>
      </w:r>
    </w:p>
    <w:p>
      <w:pPr>
        <w:pStyle w:val="TextBody"/>
        <w:ind w:firstLine="400"/>
        <w:rPr/>
      </w:pPr>
      <w:r>
        <w:rPr>
          <w:color w:val="000000"/>
          <w:sz w:val="24"/>
        </w:rPr>
        <w:t>交易参与人应当按规定向本所交纳交易经手费及其他费用；会员还应当按规定向本所交纳会员管理费用。</w:t>
      </w:r>
    </w:p>
    <w:p>
      <w:pPr>
        <w:pStyle w:val="标题 3"/>
        <w:spacing w:before="100" w:after="100"/>
        <w:rPr/>
      </w:pPr>
      <w:r>
        <w:rPr>
          <w:b w:val="true"/>
          <w:color w:val="000000"/>
          <w:sz w:val="28"/>
        </w:rPr>
        <w:t>9.3</w:t>
      </w:r>
    </w:p>
    <w:p>
      <w:pPr>
        <w:pStyle w:val="TextBody"/>
        <w:ind w:firstLine="400"/>
        <w:rPr/>
      </w:pPr>
      <w:r>
        <w:rPr>
          <w:color w:val="000000"/>
          <w:sz w:val="24"/>
        </w:rPr>
        <w:t>证券交易的收费项目、收费标准和管理办法按照有关规定执行。</w:t>
      </w:r>
    </w:p>
    <w:p>
      <w:pPr>
        <w:pStyle w:val="Heading1"/>
        <w:rPr/>
      </w:pPr>
      <w:r>
        <w:rPr>
          <w:color w:val="000000"/>
          <w:sz w:val="24"/>
        </w:rPr>
        <w:t>第十章 附则</w:t>
      </w:r>
    </w:p>
    <w:p>
      <w:pPr>
        <w:pStyle w:val="标题 3"/>
        <w:spacing w:before="100" w:after="100"/>
        <w:rPr/>
      </w:pPr>
      <w:r>
        <w:rPr>
          <w:b w:val="true"/>
          <w:color w:val="000000"/>
          <w:sz w:val="28"/>
        </w:rPr>
        <w:t>10.1</w:t>
      </w:r>
    </w:p>
    <w:p>
      <w:pPr>
        <w:pStyle w:val="TextBody"/>
        <w:ind w:firstLine="400"/>
        <w:rPr/>
      </w:pPr>
      <w:r>
        <w:rPr>
          <w:color w:val="000000"/>
          <w:sz w:val="24"/>
        </w:rPr>
        <w:t>交易参与人违反本规则的，本所根据《深圳证券交易所会员管理规则》等相关规定进行纪律处分。</w:t>
      </w:r>
    </w:p>
    <w:p>
      <w:pPr>
        <w:pStyle w:val="标题 3"/>
        <w:spacing w:before="100" w:after="100"/>
        <w:rPr/>
      </w:pPr>
      <w:r>
        <w:rPr>
          <w:b w:val="true"/>
          <w:color w:val="000000"/>
          <w:sz w:val="28"/>
        </w:rPr>
        <w:t>10.2</w:t>
      </w:r>
    </w:p>
    <w:p>
      <w:pPr>
        <w:pStyle w:val="TextBody"/>
        <w:ind w:firstLine="400"/>
        <w:rPr/>
      </w:pPr>
      <w:r>
        <w:rPr>
          <w:color w:val="000000"/>
          <w:sz w:val="24"/>
        </w:rPr>
        <w:t>通过本所交易系统进行证券发行、认购、申购、赎回、行权等业务的，参照本规则的相关规定执行；证监会及本所另有规定的，从其规定。</w:t>
      </w:r>
    </w:p>
    <w:p>
      <w:pPr>
        <w:pStyle w:val="标题 3"/>
        <w:spacing w:before="100" w:after="100"/>
        <w:rPr/>
      </w:pPr>
      <w:r>
        <w:rPr>
          <w:b w:val="true"/>
          <w:color w:val="000000"/>
          <w:sz w:val="28"/>
        </w:rPr>
        <w:t>10.3</w:t>
      </w:r>
    </w:p>
    <w:p>
      <w:pPr>
        <w:pStyle w:val="TextBody"/>
        <w:ind w:firstLine="400"/>
        <w:rPr/>
      </w:pPr>
      <w:r>
        <w:rPr>
          <w:color w:val="000000"/>
          <w:sz w:val="24"/>
        </w:rPr>
        <w:t>经本所同意，会员可以通过其派驻交易大厅的交易员进行申报。</w:t>
      </w:r>
    </w:p>
    <w:p>
      <w:pPr>
        <w:pStyle w:val="TextBody"/>
        <w:ind w:firstLine="400"/>
        <w:rPr/>
      </w:pPr>
      <w:r>
        <w:rPr>
          <w:color w:val="000000"/>
          <w:sz w:val="24"/>
        </w:rPr>
        <w:t>进入交易大厅的，仅限于下列人员：</w:t>
      </w:r>
    </w:p>
    <w:p>
      <w:pPr>
        <w:pStyle w:val="TextBody"/>
        <w:ind w:firstLine="400"/>
        <w:rPr/>
      </w:pPr>
      <w:r>
        <w:rPr>
          <w:color w:val="000000"/>
          <w:sz w:val="24"/>
        </w:rPr>
        <w:t>（一）登记在册交易员；</w:t>
      </w:r>
    </w:p>
    <w:p>
      <w:pPr>
        <w:pStyle w:val="TextBody"/>
        <w:ind w:firstLine="400"/>
        <w:rPr/>
      </w:pPr>
      <w:r>
        <w:rPr>
          <w:color w:val="000000"/>
          <w:sz w:val="24"/>
        </w:rPr>
        <w:t>（二）场内监管人员；</w:t>
      </w:r>
    </w:p>
    <w:p>
      <w:pPr>
        <w:pStyle w:val="TextBody"/>
        <w:ind w:firstLine="400"/>
        <w:rPr/>
      </w:pPr>
      <w:r>
        <w:rPr>
          <w:color w:val="000000"/>
          <w:sz w:val="24"/>
        </w:rPr>
        <w:t>（三）本所特许人员。</w:t>
      </w:r>
    </w:p>
    <w:p>
      <w:pPr>
        <w:pStyle w:val="标题 3"/>
        <w:spacing w:before="100" w:after="100"/>
        <w:rPr/>
      </w:pPr>
      <w:r>
        <w:rPr>
          <w:b w:val="true"/>
          <w:color w:val="000000"/>
          <w:sz w:val="28"/>
        </w:rPr>
        <w:t>10.4</w:t>
      </w:r>
    </w:p>
    <w:p>
      <w:pPr>
        <w:pStyle w:val="TextBody"/>
        <w:ind w:firstLine="400"/>
        <w:rPr/>
      </w:pPr>
      <w:r>
        <w:rPr>
          <w:color w:val="000000"/>
          <w:sz w:val="24"/>
        </w:rPr>
        <w:t>经证监会批准，特定交易品种可以通过本所综合协议交易平台进行协议交易，具体规定由本所另行制定。</w:t>
      </w:r>
    </w:p>
    <w:p>
      <w:pPr>
        <w:pStyle w:val="标题 3"/>
        <w:spacing w:before="100" w:after="100"/>
        <w:rPr/>
      </w:pPr>
      <w:r>
        <w:rPr>
          <w:b w:val="true"/>
          <w:color w:val="000000"/>
          <w:sz w:val="28"/>
        </w:rPr>
        <w:t>10.5</w:t>
      </w:r>
    </w:p>
    <w:p>
      <w:pPr>
        <w:pStyle w:val="TextBody"/>
        <w:ind w:firstLine="400"/>
        <w:rPr/>
      </w:pPr>
      <w:r>
        <w:rPr>
          <w:color w:val="000000"/>
          <w:sz w:val="24"/>
        </w:rPr>
        <w:t>本规则中所述时间，以本所交易主机的时间为准。</w:t>
      </w:r>
    </w:p>
    <w:p>
      <w:pPr>
        <w:pStyle w:val="标题 3"/>
        <w:spacing w:before="100" w:after="100"/>
        <w:rPr/>
      </w:pPr>
      <w:r>
        <w:rPr>
          <w:b w:val="true"/>
          <w:color w:val="000000"/>
          <w:sz w:val="28"/>
        </w:rPr>
        <w:t>10.6</w:t>
      </w:r>
    </w:p>
    <w:p>
      <w:pPr>
        <w:pStyle w:val="TextBody"/>
        <w:ind w:firstLine="400"/>
        <w:rPr/>
      </w:pPr>
      <w:r>
        <w:rPr>
          <w:color w:val="000000"/>
          <w:sz w:val="24"/>
        </w:rPr>
        <w:t>本规则下列用语具有如下含义：</w:t>
      </w:r>
    </w:p>
    <w:p>
      <w:pPr>
        <w:pStyle w:val="TextBody"/>
        <w:ind w:firstLine="400"/>
        <w:rPr/>
      </w:pPr>
      <w:r>
        <w:rPr>
          <w:color w:val="000000"/>
          <w:sz w:val="24"/>
        </w:rPr>
        <w:t>（一）市场：指本所设立的证券交易市场。</w:t>
      </w:r>
    </w:p>
    <w:p>
      <w:pPr>
        <w:pStyle w:val="TextBody"/>
        <w:ind w:firstLine="400"/>
        <w:rPr/>
      </w:pPr>
      <w:r>
        <w:rPr>
          <w:color w:val="000000"/>
          <w:sz w:val="24"/>
        </w:rPr>
        <w:t>（二）委托：指投资者向会员进行具体授权买卖证券的行为。</w:t>
      </w:r>
    </w:p>
    <w:p>
      <w:pPr>
        <w:pStyle w:val="TextBody"/>
        <w:ind w:firstLine="400"/>
        <w:rPr/>
      </w:pPr>
      <w:r>
        <w:rPr>
          <w:color w:val="000000"/>
          <w:sz w:val="24"/>
        </w:rPr>
        <w:t>（三）申报：指交易参与人向本所交易主机发送证券买卖指令的行为。</w:t>
      </w:r>
    </w:p>
    <w:p>
      <w:pPr>
        <w:pStyle w:val="TextBody"/>
        <w:ind w:firstLine="400"/>
        <w:rPr/>
      </w:pPr>
      <w:r>
        <w:rPr>
          <w:color w:val="000000"/>
          <w:sz w:val="24"/>
        </w:rPr>
        <w:t>（四）集中申报簿：指交易主机某一时点有效竞价范围内按买卖方向以及价格优先、时间优先顺序排列的所有未成交申报队列。</w:t>
      </w:r>
    </w:p>
    <w:p>
      <w:pPr>
        <w:pStyle w:val="TextBody"/>
        <w:ind w:firstLine="400"/>
        <w:rPr/>
      </w:pPr>
      <w:r>
        <w:rPr>
          <w:color w:val="000000"/>
          <w:sz w:val="24"/>
        </w:rPr>
        <w:t>（五）对手方（本方）队列最优价格：指集中申报簿中买方的最高价或卖方的最低价。</w:t>
      </w:r>
    </w:p>
    <w:p>
      <w:pPr>
        <w:pStyle w:val="TextBody"/>
        <w:ind w:firstLine="400"/>
        <w:rPr/>
      </w:pPr>
      <w:r>
        <w:rPr>
          <w:color w:val="000000"/>
          <w:sz w:val="24"/>
        </w:rPr>
        <w:t>（六）集合竞价参考价：指截至揭示时集中申报簿中所有申报按照集合竞价规则形成的虚拟集合竞价成交价。</w:t>
      </w:r>
    </w:p>
    <w:p>
      <w:pPr>
        <w:pStyle w:val="TextBody"/>
        <w:ind w:firstLine="400"/>
        <w:rPr/>
      </w:pPr>
      <w:r>
        <w:rPr>
          <w:color w:val="000000"/>
          <w:sz w:val="24"/>
        </w:rPr>
        <w:t>（七）匹配量：指截至揭示时集中申报簿中所有申报按照集合竞价规则形成的虚拟成交数量。</w:t>
      </w:r>
    </w:p>
    <w:p>
      <w:pPr>
        <w:pStyle w:val="TextBody"/>
        <w:ind w:firstLine="400"/>
        <w:rPr/>
      </w:pPr>
      <w:r>
        <w:rPr>
          <w:color w:val="000000"/>
          <w:sz w:val="24"/>
        </w:rPr>
        <w:t>（八）未匹配量：指截至揭示时集中申报簿中在集合竞价参考价位上的不能按照集合竞价参考价虚拟成交的买方或卖方申报剩余量。</w:t>
      </w:r>
    </w:p>
    <w:p>
      <w:pPr>
        <w:pStyle w:val="TextBody"/>
        <w:ind w:firstLine="400"/>
        <w:rPr/>
      </w:pPr>
      <w:r>
        <w:rPr>
          <w:color w:val="000000"/>
          <w:sz w:val="24"/>
        </w:rPr>
        <w:t>（九）证券价格敏感期：指计算相关证券及其衍生品的交易价格、结算价格、参考价值的特定期间，包括计算修正可转换债券转股价的特定时间，计算证券增发价的特定时间，计算证券单位净值的特定时间，计算衍生品结算价格的特定时间等。</w:t>
      </w:r>
    </w:p>
    <w:p>
      <w:pPr>
        <w:pStyle w:val="标题 3"/>
        <w:spacing w:before="100" w:after="100"/>
        <w:rPr/>
      </w:pPr>
      <w:r>
        <w:rPr>
          <w:b w:val="true"/>
          <w:color w:val="000000"/>
          <w:sz w:val="28"/>
        </w:rPr>
        <w:t>10.7</w:t>
      </w:r>
    </w:p>
    <w:p>
      <w:pPr>
        <w:pStyle w:val="TextBody"/>
        <w:ind w:firstLine="400"/>
        <w:rPr/>
      </w:pPr>
      <w:r>
        <w:rPr>
          <w:color w:val="000000"/>
          <w:sz w:val="24"/>
        </w:rPr>
        <w:t>本规则未定义的用语的含义，依照法律、行政法规、部门规章、规范性文件及本所有关业务规则确定。</w:t>
      </w:r>
    </w:p>
    <w:p>
      <w:pPr>
        <w:pStyle w:val="标题 3"/>
        <w:spacing w:before="100" w:after="100"/>
        <w:rPr/>
      </w:pPr>
      <w:r>
        <w:rPr>
          <w:b w:val="true"/>
          <w:color w:val="000000"/>
          <w:sz w:val="28"/>
        </w:rPr>
        <w:t>10.8</w:t>
      </w:r>
    </w:p>
    <w:p>
      <w:pPr>
        <w:pStyle w:val="TextBody"/>
        <w:ind w:firstLine="400"/>
        <w:rPr/>
      </w:pPr>
      <w:r>
        <w:rPr>
          <w:color w:val="000000"/>
          <w:sz w:val="24"/>
        </w:rPr>
        <w:t>本规则所称“超过”、“低于”、“不足”不含本数，“达到”、“以上”、“以下”含本数。</w:t>
      </w:r>
    </w:p>
    <w:p>
      <w:pPr>
        <w:pStyle w:val="标题 3"/>
        <w:spacing w:before="100" w:after="100"/>
        <w:rPr/>
      </w:pPr>
      <w:r>
        <w:rPr>
          <w:b w:val="true"/>
          <w:color w:val="000000"/>
          <w:sz w:val="28"/>
        </w:rPr>
        <w:t>10.9</w:t>
      </w:r>
    </w:p>
    <w:p>
      <w:pPr>
        <w:pStyle w:val="TextBody"/>
        <w:ind w:firstLine="400"/>
        <w:rPr/>
      </w:pPr>
      <w:r>
        <w:rPr>
          <w:color w:val="000000"/>
          <w:sz w:val="24"/>
        </w:rPr>
        <w:t>本规则经本所理事会通过，报证监会批准后生效。修改时亦同。</w:t>
      </w:r>
    </w:p>
    <w:p>
      <w:pPr>
        <w:pStyle w:val="标题 3"/>
        <w:spacing w:before="100" w:after="100"/>
        <w:rPr/>
      </w:pPr>
      <w:r>
        <w:rPr>
          <w:b w:val="true"/>
          <w:color w:val="000000"/>
          <w:sz w:val="28"/>
        </w:rPr>
        <w:t>10.10</w:t>
      </w:r>
    </w:p>
    <w:p>
      <w:pPr>
        <w:pStyle w:val="TextBody"/>
        <w:ind w:firstLine="400"/>
        <w:rPr/>
      </w:pPr>
      <w:r>
        <w:rPr>
          <w:color w:val="000000"/>
          <w:sz w:val="24"/>
        </w:rPr>
        <w:t>本规则由本所负责解释。</w:t>
      </w:r>
    </w:p>
    <w:p>
      <w:pPr>
        <w:pStyle w:val="标题 3"/>
        <w:spacing w:before="100" w:after="100"/>
        <w:rPr/>
      </w:pPr>
      <w:r>
        <w:rPr>
          <w:b w:val="true"/>
          <w:color w:val="000000"/>
          <w:sz w:val="28"/>
        </w:rPr>
        <w:t>10.11</w:t>
      </w:r>
    </w:p>
    <w:p>
      <w:pPr>
        <w:pStyle w:val="TextBody"/>
        <w:ind w:firstLine="400"/>
        <w:rPr/>
      </w:pPr>
      <w:r>
        <w:rPr>
          <w:color w:val="000000"/>
          <w:sz w:val="24"/>
        </w:rPr>
        <w:t>本规则自发布之日起施行。</w:t>
      </w:r>
    </w:p>
    <w:p>
      <w:pPr>
        <w:spacing w:before="100" w:after="150"/>
      </w:pPr>
      <w:r>
        <w:rPr>
          <w:rFonts w:ascii="宋体" w:hAnsi="宋体" w:cs="宋体" w:eastAsia="宋体"/>
          <w:b w:val="true"/>
          <w:sz w:val="28"/>
        </w:rPr>
        <w:t>声明</w:t>
      </w:r>
    </w:p>
    <w:p>
      <w:pPr>
        <w:spacing w:before="100" w:after="150"/>
        <w:ind w:firstLine="480"/>
      </w:pPr>
      <w:r>
        <w:rPr>
          <w:rFonts w:ascii="宋体" w:hAnsi="宋体" w:cs="宋体" w:eastAsia="宋体"/>
        </w:rPr>
        <w:t>所下载文档由价值在线提供，您可以通过扫描下方二维码分享该法规。</w:t>
      </w:r>
    </w:p>
    <w:p>
      <w:pPr>
        <w:jc w:val="center"/>
      </w:pPr>
      <w:r>
        <w:drawing>
          <wp:inline distT="0" distB="0" distL="0" distR="0">
            <wp:extent cx="1428750" cy="142875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r:embed="rId4"/>
                    <a:stretch>
                      <a:fillRect/>
                    </a:stretch>
                  </pic:blipFill>
                  <pic:spPr>
                    <a:xfrm>
                      <a:off x="0" y="0"/>
                      <a:ext cx="1428750" cy="1428750"/>
                    </a:xfrm>
                    <a:prstGeom prst="rect">
                      <a:avLst/>
                    </a:prstGeom>
                  </pic:spPr>
                </pic:pic>
              </a:graphicData>
            </a:graphic>
          </wp:inline>
        </w:drawing>
      </w:r>
    </w:p>
    <w:sectPr>
      <w:footerReference w:type="default" r:id="rId5"/>
      <w:type w:val="nextPage"/>
      <w:pgSz w:h="15840" w:w="12240"/>
      <w:pgMar w:bottom="1440" w:footer="0" w:gutter="0" w:header="0" w:left="1800" w:right="1800" w:top="1440"/>
      <w:pgNumType w:fmt="decimal"/>
      <w:formProt w:val="false"/>
      <w:textDirection w:val="lrTb"/>
      <w:docGrid w:charSpace="32768" w:linePitch="600" w:type="default"/>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s>
</file>

<file path=word/footer1.xml><?xml version="1.0" encoding="utf-8"?>
<w:ftr xmlns:w="http://schemas.openxmlformats.org/wordprocessingml/2006/main">
  <w:p>
    <w:pPr>
      <w:pStyle w:val="STYLE_FOOTER"/>
      <w:jc w:val="center"/>
    </w:pPr>
    <w:r>
      <w:fldChar w:fldCharType="begin"/>
    </w:r>
    <w:r>
      <w:instrText>PAGE   \* MERGEFORMAT</w:instrText>
    </w:r>
    <w:r>
      <w:fldChar w:fldCharType="separate"/>
    </w:r>
    <w:r>
      <w:rPr>
        <w:noProof/>
        <w:lang w:val="LANG_ZH_CN"/>
      </w:rPr>
      <w:fldChar w:fldCharType="end"/>
    </w:r>
  </w:p>
</w:ftr>
</file>

<file path=word/settings.xml><?xml version="1.0" encoding="utf-8"?>
<w:settings xmlns:w="http://schemas.openxmlformats.org/wordprocessingml/2006/main">
  <w:view w:val="web"/>
  <w:zoom w:percent="100"/>
  <w:defaultTabStop w:val="1134"/>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DejaVu Sans" w:eastAsia="SimSun" w:hAnsi="Liberation Serif"/>
        <w:sz w:val="24"/>
        <w:szCs w:val="24"/>
        <w:lang w:bidi="hi-IN" w:eastAsia="zh-CN" w:val="en-US"/>
      </w:rPr>
    </w:rPrDefault>
    <w:pPrDefault>
      <w:pPr/>
    </w:pPrDefault>
  </w:docDefaults>
  <w:style w:styleId="Normal" w:type="paragraph">
    <w:name w:val="Normal"/>
    <w:qFormat/>
    <w:pPr>
      <w:widowControl w:val="false"/>
    </w:pPr>
    <w:rPr>
      <w:rFonts w:ascii="Liberation Serif" w:cs="DejaVu Sans" w:eastAsia="SimSun" w:hAnsi="Liberation Serif"/>
      <w:color w:val="auto"/>
      <w:sz w:val="24"/>
      <w:szCs w:val="24"/>
      <w:lang w:bidi="hi-IN" w:eastAsia="zh-CN" w:val="en-US"/>
    </w:rPr>
  </w:style>
  <w:style w:styleId="Heading1" w:type="paragraph">
    <w:name w:val="Heading 1"/>
    <w:basedOn w:val="Heading"/>
    <w:next w:val="TextBody"/>
    <w:qFormat/>
    <w:pPr/>
    <w:rPr>
      <w:rFonts w:ascii="Thorndale" w:hAnsi="Thorndale"/>
      <w:b/>
      <w:bCs/>
      <w:sz w:val="32"/>
      <w:szCs w:val="32"/>
    </w:rPr>
  </w:style>
  <w:style w:styleId="Heading2" w:type="paragraph">
    <w:name w:val="Heading 2"/>
    <w:basedOn w:val="Heading"/>
    <w:next w:val="TextBody"/>
    <w:qFormat/>
    <w:pPr>
      <w:spacing w:after="120" w:before="200"/>
      <w:outlineLvl w:val="1"/>
    </w:pPr>
    <w:rPr>
      <w:rFonts w:ascii="Liberation Serif" w:cs="DejaVu Sans" w:eastAsia="SimSun" w:hAnsi="Liberation Serif"/>
      <w:b/>
      <w:bCs/>
      <w:sz w:val="30"/>
      <w:szCs w:val="30"/>
    </w:rPr>
  </w:style>
  <w:style w:styleId="Heading3" w:type="paragraph">
    <w:name w:val="Heading 3"/>
    <w:basedOn w:val="Heading"/>
    <w:next w:val="TextBody"/>
    <w:qFormat/>
    <w:pPr>
      <w:spacing w:after="120" w:before="140"/>
      <w:outlineLvl w:val="2"/>
    </w:pPr>
    <w:rPr>
      <w:rFonts w:ascii="Liberation Serif" w:cs="DejaVu Sans" w:eastAsia="SimSun" w:hAnsi="Liberation Serif"/>
      <w:b/>
      <w:bCs/>
      <w:sz w:val="27"/>
      <w:szCs w:val="27"/>
    </w:rPr>
  </w:style>
  <w:style w:styleId="Heading4" w:type="paragraph">
    <w:name w:val="Heading 4"/>
    <w:basedOn w:val="Heading"/>
    <w:next w:val="TextBody"/>
    <w:qFormat/>
    <w:pPr>
      <w:spacing w:after="120" w:before="120"/>
      <w:jc w:val="center"/>
      <w:outlineLvl w:val="3"/>
    </w:pPr>
    <w:rPr>
      <w:rFonts w:ascii="Liberation Serif" w:cs="DejaVu Sans" w:eastAsia="SimSun" w:hAnsi="Liberation Serif"/>
      <w:b/>
      <w:bCs/>
      <w:sz w:val="36"/>
      <w:szCs w:val="36"/>
    </w:rPr>
  </w:style>
  <w:style w:styleId="EndnoteCharacters" w:type="character">
    <w:name w:val="Endnote Characters"/>
    <w:qFormat/>
    <w:rPr/>
  </w:style>
  <w:style w:styleId="FootnoteCharacters" w:type="character">
    <w:name w:val="Footnote Characters"/>
    <w:qFormat/>
    <w:rPr/>
  </w:style>
  <w:style w:styleId="InternetLink" w:type="character">
    <w:name w:val="Internet Link"/>
    <w:rPr>
      <w:color w:val="000080"/>
      <w:u w:val="single"/>
    </w:rPr>
  </w:style>
  <w:style w:styleId="HorizontalLine" w:type="paragraph">
    <w:name w:val="Horizontal Line"/>
    <w:basedOn w:val="Normal"/>
    <w:next w:val="TextBody"/>
    <w:qFormat/>
    <w:pPr>
      <w:pBdr>
        <w:bottom w:color="808080" w:space="0" w:sz="2" w:val="double"/>
      </w:pBdr>
      <w:spacing w:after="283" w:before="0"/>
    </w:pPr>
    <w:rPr>
      <w:sz w:val="12"/>
    </w:rPr>
  </w:style>
  <w:style w:styleId="Sender" w:type="paragraph">
    <w:name w:val="Envelope Return"/>
    <w:basedOn w:val="Normal"/>
    <w:pPr/>
    <w:rPr>
      <w:i/>
    </w:rPr>
  </w:style>
  <w:style w:styleId="TableContents" w:type="paragraph">
    <w:name w:val="Table Contents"/>
    <w:basedOn w:val="TextBody"/>
    <w:qFormat/>
    <w:pPr/>
    <w:rPr/>
  </w:style>
  <w:style w:styleId="Footer" w:type="paragraph">
    <w:name w:val="Footer"/>
    <w:basedOn w:val="Normal"/>
    <w:pPr>
      <w:suppressLineNumbers/>
      <w:tabs>
        <w:tab w:leader="none" w:pos="4818" w:val="center"/>
        <w:tab w:leader="none" w:pos="9637" w:val="right"/>
      </w:tabs>
    </w:pPr>
    <w:rPr/>
  </w:style>
  <w:style w:styleId="Header" w:type="paragraph">
    <w:name w:val="Header"/>
    <w:basedOn w:val="Normal"/>
    <w:pPr>
      <w:suppressLineNumbers/>
      <w:tabs>
        <w:tab w:leader="none" w:pos="4818" w:val="center"/>
        <w:tab w:leader="none" w:pos="9637" w:val="right"/>
      </w:tabs>
    </w:pPr>
    <w:rPr/>
  </w:style>
  <w:style w:styleId="Index" w:type="paragraph">
    <w:name w:val="Index"/>
    <w:basedOn w:val="Normal"/>
    <w:qFormat/>
    <w:pPr>
      <w:suppressLineNumbers/>
    </w:pPr>
    <w:rPr>
      <w:rFonts w:cs="DejaVu Sans"/>
    </w:rPr>
  </w:style>
  <w:style w:styleId="Caption" w:type="paragraph">
    <w:name w:val="Caption"/>
    <w:basedOn w:val="Normal"/>
    <w:qFormat/>
    <w:pPr>
      <w:suppressLineNumbers/>
      <w:spacing w:after="120" w:before="120"/>
    </w:pPr>
    <w:rPr>
      <w:rFonts w:cs="DejaVu Sans"/>
      <w:i/>
      <w:iCs/>
      <w:sz w:val="24"/>
      <w:szCs w:val="24"/>
    </w:rPr>
  </w:style>
  <w:style w:styleId="List" w:type="paragraph">
    <w:name w:val="List"/>
    <w:basedOn w:val="TextBody"/>
    <w:pPr/>
    <w:rPr>
      <w:rFonts w:cs="DejaVu Sans"/>
    </w:rPr>
  </w:style>
  <w:style w:styleId="TextBody" w:type="paragraph">
    <w:name w:val="Body Text"/>
    <w:basedOn w:val="Normal"/>
    <w:pPr>
      <w:spacing w:after="283" w:before="0" w:line="360" w:lineRule="auto"/>
    </w:pPr>
    <w:rPr/>
  </w:style>
  <w:style w:styleId="Heading" w:type="paragraph">
    <w:name w:val="Heading"/>
    <w:basedOn w:val="Normal"/>
    <w:next w:val="TextBody"/>
    <w:qFormat/>
    <w:pPr>
      <w:keepNext w:val="true"/>
      <w:spacing w:after="283" w:before="240"/>
    </w:pPr>
    <w:rPr>
      <w:rFonts w:ascii="Albany" w:hAnsi="Albany"/>
      <w:sz w:val="28"/>
      <w:szCs w:val="2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4" Target="media/image1.png" Type="http://schemas.openxmlformats.org/officeDocument/2006/relationships/image"/>
<Relationship Id="rId5" Target="footer1.xml" Type="http://schemas.openxmlformats.org/officeDocument/2006/relationships/footer"/>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LibreOffice_project/dc89aa7a9eabfd848af146d5086077aeed2ae4a5</Application>
</Properties>
</file>

<file path=docProps/core.xml><?xml version="1.0" encoding="utf-8"?>
<cp:coreProperties xmlns:cp="http://schemas.openxmlformats.org/package/2006/metadata/core-properties" xmlns:dc="http://purl.org/dc/elements/1.1/" xmlns:dcterms="http://purl.org/dc/terms/" xmlns:xsi="http://www.w3.org/2001/XMLSchema-instance">
  <dc:language>en-US</dc:language>
  <cp:revision>0</cp:revision>
</cp:coreProperties>
</file>