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E9053" w14:textId="13EA8AFD" w:rsidR="00097654" w:rsidRDefault="004C1FE8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证券</w:t>
      </w:r>
      <w:r>
        <w:rPr>
          <w:color w:val="000000" w:themeColor="text1"/>
          <w:sz w:val="24"/>
        </w:rPr>
        <w:t xml:space="preserve">代码：000863  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</w:t>
      </w:r>
      <w:r>
        <w:rPr>
          <w:rFonts w:hint="eastAsia"/>
          <w:color w:val="000000" w:themeColor="text1"/>
          <w:sz w:val="24"/>
        </w:rPr>
        <w:t xml:space="preserve"> 证券</w:t>
      </w:r>
      <w:r>
        <w:rPr>
          <w:color w:val="000000" w:themeColor="text1"/>
          <w:sz w:val="24"/>
        </w:rPr>
        <w:t>简称：三</w:t>
      </w:r>
      <w:proofErr w:type="gramStart"/>
      <w:r>
        <w:rPr>
          <w:color w:val="000000" w:themeColor="text1"/>
          <w:sz w:val="24"/>
        </w:rPr>
        <w:t>湘</w:t>
      </w:r>
      <w:r>
        <w:rPr>
          <w:rFonts w:hint="eastAsia"/>
          <w:color w:val="000000" w:themeColor="text1"/>
          <w:sz w:val="24"/>
        </w:rPr>
        <w:t>印象</w:t>
      </w:r>
      <w:proofErr w:type="gramEnd"/>
      <w:r>
        <w:rPr>
          <w:color w:val="000000" w:themeColor="text1"/>
          <w:sz w:val="24"/>
        </w:rPr>
        <w:t xml:space="preserve">   </w:t>
      </w:r>
      <w:r>
        <w:rPr>
          <w:rFonts w:hint="eastAsia"/>
          <w:color w:val="000000" w:themeColor="text1"/>
          <w:sz w:val="24"/>
        </w:rPr>
        <w:t xml:space="preserve">  </w:t>
      </w:r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公告编号：20</w:t>
      </w:r>
      <w:r>
        <w:rPr>
          <w:rFonts w:hint="eastAsia"/>
          <w:color w:val="000000" w:themeColor="text1"/>
          <w:sz w:val="24"/>
        </w:rPr>
        <w:t>2</w:t>
      </w:r>
      <w:r w:rsidR="00FF1B0A">
        <w:rPr>
          <w:color w:val="000000" w:themeColor="text1"/>
          <w:sz w:val="24"/>
        </w:rPr>
        <w:t>1</w:t>
      </w:r>
      <w:bookmarkStart w:id="0" w:name="_GoBack"/>
      <w:bookmarkEnd w:id="0"/>
      <w:r w:rsidRPr="00C46EA3">
        <w:rPr>
          <w:color w:val="000000" w:themeColor="text1"/>
          <w:sz w:val="24"/>
        </w:rPr>
        <w:t>-</w:t>
      </w:r>
      <w:r w:rsidR="005029CE" w:rsidRPr="00C46EA3">
        <w:rPr>
          <w:rFonts w:hint="eastAsia"/>
          <w:color w:val="000000" w:themeColor="text1"/>
          <w:sz w:val="24"/>
        </w:rPr>
        <w:t>0</w:t>
      </w:r>
      <w:r w:rsidR="00C46EA3" w:rsidRPr="00C46EA3">
        <w:rPr>
          <w:color w:val="000000" w:themeColor="text1"/>
          <w:sz w:val="24"/>
        </w:rPr>
        <w:t>20</w:t>
      </w:r>
    </w:p>
    <w:p w14:paraId="4865B0C1" w14:textId="77777777" w:rsidR="00097654" w:rsidRDefault="004C1FE8">
      <w:pPr>
        <w:spacing w:line="360" w:lineRule="auto"/>
        <w:jc w:val="center"/>
        <w:rPr>
          <w:b/>
          <w:bCs/>
          <w:color w:val="FF0000"/>
          <w:sz w:val="32"/>
          <w:szCs w:val="30"/>
        </w:rPr>
      </w:pPr>
      <w:r>
        <w:rPr>
          <w:rFonts w:hint="eastAsia"/>
          <w:b/>
          <w:bCs/>
          <w:color w:val="FF0000"/>
          <w:sz w:val="32"/>
          <w:szCs w:val="30"/>
        </w:rPr>
        <w:t>三</w:t>
      </w:r>
      <w:proofErr w:type="gramStart"/>
      <w:r>
        <w:rPr>
          <w:rFonts w:hint="eastAsia"/>
          <w:b/>
          <w:bCs/>
          <w:color w:val="FF0000"/>
          <w:sz w:val="32"/>
          <w:szCs w:val="30"/>
        </w:rPr>
        <w:t>湘印象</w:t>
      </w:r>
      <w:proofErr w:type="gramEnd"/>
      <w:r>
        <w:rPr>
          <w:rFonts w:hint="eastAsia"/>
          <w:b/>
          <w:bCs/>
          <w:color w:val="FF0000"/>
          <w:sz w:val="32"/>
          <w:szCs w:val="30"/>
        </w:rPr>
        <w:t>股份有限公司</w:t>
      </w:r>
    </w:p>
    <w:p w14:paraId="003AADA4" w14:textId="54A919B2" w:rsidR="00097654" w:rsidRDefault="004C1FE8">
      <w:pPr>
        <w:spacing w:line="360" w:lineRule="auto"/>
        <w:jc w:val="center"/>
        <w:rPr>
          <w:b/>
          <w:color w:val="FF0000"/>
          <w:sz w:val="32"/>
          <w:szCs w:val="30"/>
        </w:rPr>
      </w:pPr>
      <w:r>
        <w:rPr>
          <w:rFonts w:hint="eastAsia"/>
          <w:b/>
          <w:bCs/>
          <w:color w:val="FF0000"/>
          <w:sz w:val="32"/>
          <w:szCs w:val="30"/>
        </w:rPr>
        <w:t>关于</w:t>
      </w:r>
      <w:r>
        <w:rPr>
          <w:b/>
          <w:bCs/>
          <w:color w:val="FF0000"/>
          <w:sz w:val="32"/>
          <w:szCs w:val="30"/>
        </w:rPr>
        <w:t>20</w:t>
      </w:r>
      <w:r>
        <w:rPr>
          <w:rFonts w:hint="eastAsia"/>
          <w:b/>
          <w:bCs/>
          <w:color w:val="FF0000"/>
          <w:sz w:val="32"/>
          <w:szCs w:val="30"/>
        </w:rPr>
        <w:t>2</w:t>
      </w:r>
      <w:r w:rsidR="00FF1B0A">
        <w:rPr>
          <w:b/>
          <w:bCs/>
          <w:color w:val="FF0000"/>
          <w:sz w:val="32"/>
          <w:szCs w:val="30"/>
        </w:rPr>
        <w:t>1</w:t>
      </w:r>
      <w:r>
        <w:rPr>
          <w:b/>
          <w:bCs/>
          <w:color w:val="FF0000"/>
          <w:sz w:val="32"/>
          <w:szCs w:val="30"/>
        </w:rPr>
        <w:t>年度以自有资金进行委托理财的公告</w:t>
      </w:r>
    </w:p>
    <w:p w14:paraId="662411AA" w14:textId="77777777" w:rsidR="00097654" w:rsidRDefault="004C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200" w:firstLine="480"/>
        <w:rPr>
          <w:color w:val="000000" w:themeColor="text1"/>
          <w:sz w:val="24"/>
        </w:rPr>
      </w:pPr>
      <w:bookmarkStart w:id="1" w:name="OLE_LINK1"/>
      <w:r>
        <w:rPr>
          <w:color w:val="000000" w:themeColor="text1"/>
          <w:kern w:val="0"/>
          <w:sz w:val="24"/>
        </w:rPr>
        <w:t>本公司及董事会全体成员保证信息披露内容的真实、准确和完整，没有虚假记载、误导性陈述或重大遗漏。</w:t>
      </w:r>
    </w:p>
    <w:bookmarkEnd w:id="1"/>
    <w:p w14:paraId="10C6A398" w14:textId="44AA9AD9" w:rsidR="00097654" w:rsidRDefault="004C1FE8" w:rsidP="00F41FAF">
      <w:pPr>
        <w:tabs>
          <w:tab w:val="left" w:pos="3240"/>
        </w:tabs>
        <w:snapToGrid w:val="0"/>
        <w:spacing w:beforeLines="100" w:before="381" w:line="38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</w:t>
      </w:r>
      <w:proofErr w:type="gramStart"/>
      <w:r>
        <w:rPr>
          <w:rFonts w:hint="eastAsia"/>
          <w:sz w:val="24"/>
        </w:rPr>
        <w:t>湘印象</w:t>
      </w:r>
      <w:proofErr w:type="gramEnd"/>
      <w:r>
        <w:rPr>
          <w:rFonts w:hint="eastAsia"/>
          <w:sz w:val="24"/>
        </w:rPr>
        <w:t>股份有限公司（以下简称</w:t>
      </w:r>
      <w:r>
        <w:rPr>
          <w:sz w:val="24"/>
        </w:rPr>
        <w:t>“</w:t>
      </w:r>
      <w:r>
        <w:rPr>
          <w:rFonts w:hint="eastAsia"/>
          <w:sz w:val="24"/>
        </w:rPr>
        <w:t>公司</w:t>
      </w:r>
      <w:r>
        <w:rPr>
          <w:sz w:val="24"/>
        </w:rPr>
        <w:t>”或“</w:t>
      </w:r>
      <w:r>
        <w:rPr>
          <w:rFonts w:hint="eastAsia"/>
          <w:sz w:val="24"/>
        </w:rPr>
        <w:t>本公司</w:t>
      </w:r>
      <w:r>
        <w:rPr>
          <w:sz w:val="24"/>
        </w:rPr>
        <w:t>”</w:t>
      </w:r>
      <w:r>
        <w:rPr>
          <w:rFonts w:hint="eastAsia"/>
          <w:sz w:val="24"/>
        </w:rPr>
        <w:t>）于</w:t>
      </w:r>
      <w:r>
        <w:rPr>
          <w:sz w:val="24"/>
        </w:rPr>
        <w:t>202</w:t>
      </w:r>
      <w:r w:rsidR="008016C1">
        <w:rPr>
          <w:sz w:val="24"/>
        </w:rPr>
        <w:t>1</w:t>
      </w:r>
      <w:r>
        <w:rPr>
          <w:rFonts w:hint="eastAsia"/>
          <w:sz w:val="24"/>
        </w:rPr>
        <w:t>年4月22日召开第七届董事会第</w:t>
      </w:r>
      <w:r w:rsidR="008016C1">
        <w:rPr>
          <w:rFonts w:hint="eastAsia"/>
          <w:sz w:val="24"/>
        </w:rPr>
        <w:t>二十五</w:t>
      </w:r>
      <w:r>
        <w:rPr>
          <w:rFonts w:hint="eastAsia"/>
          <w:sz w:val="24"/>
        </w:rPr>
        <w:t>次（定期）会议，审议通过了《关于</w:t>
      </w:r>
      <w:r>
        <w:rPr>
          <w:sz w:val="24"/>
        </w:rPr>
        <w:t>202</w:t>
      </w:r>
      <w:r w:rsidR="008016C1">
        <w:rPr>
          <w:sz w:val="24"/>
        </w:rPr>
        <w:t>1</w:t>
      </w:r>
      <w:r>
        <w:rPr>
          <w:sz w:val="24"/>
        </w:rPr>
        <w:t>年度以自有资金进行委托理财的</w:t>
      </w:r>
      <w:r>
        <w:rPr>
          <w:rFonts w:hint="eastAsia"/>
          <w:sz w:val="24"/>
        </w:rPr>
        <w:t>议案》，拟提请股东大会授权公司董事会在控制投资风险的前提下，以提高资金使用效率、增加现金资产收益为原则，拟使用</w:t>
      </w:r>
      <w:bookmarkStart w:id="2" w:name="_Hlk37335150"/>
      <w:r>
        <w:rPr>
          <w:rFonts w:hint="eastAsia"/>
          <w:sz w:val="24"/>
        </w:rPr>
        <w:t>单日最高余额不超过人民币</w:t>
      </w:r>
      <w:r w:rsidR="008016C1">
        <w:rPr>
          <w:sz w:val="24"/>
        </w:rPr>
        <w:t>10</w:t>
      </w:r>
      <w:r>
        <w:rPr>
          <w:rFonts w:hint="eastAsia"/>
          <w:sz w:val="24"/>
        </w:rPr>
        <w:t>亿元</w:t>
      </w:r>
      <w:bookmarkEnd w:id="2"/>
      <w:r>
        <w:rPr>
          <w:rFonts w:hint="eastAsia"/>
          <w:sz w:val="24"/>
        </w:rPr>
        <w:t>自有资金委托商业银行、信托公司、资产管理公司等机构</w:t>
      </w:r>
      <w:proofErr w:type="gramStart"/>
      <w:r>
        <w:rPr>
          <w:rFonts w:hint="eastAsia"/>
          <w:sz w:val="24"/>
        </w:rPr>
        <w:t>进行低</w:t>
      </w:r>
      <w:proofErr w:type="gramEnd"/>
      <w:r>
        <w:rPr>
          <w:rFonts w:hint="eastAsia"/>
          <w:sz w:val="24"/>
        </w:rPr>
        <w:t>风险投资理财，相关事宜公告如下：</w:t>
      </w:r>
    </w:p>
    <w:p w14:paraId="2F7EB13F" w14:textId="77777777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6"/>
        <w:jc w:val="left"/>
        <w:rPr>
          <w:b/>
          <w:sz w:val="24"/>
        </w:rPr>
      </w:pPr>
      <w:r>
        <w:rPr>
          <w:rFonts w:hint="eastAsia"/>
          <w:b/>
          <w:sz w:val="24"/>
        </w:rPr>
        <w:t>一、委托理财情况概述</w:t>
      </w:r>
      <w:r>
        <w:rPr>
          <w:b/>
          <w:sz w:val="24"/>
        </w:rPr>
        <w:t xml:space="preserve"> </w:t>
      </w:r>
    </w:p>
    <w:p w14:paraId="2A628C1D" w14:textId="77777777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5"/>
        <w:jc w:val="left"/>
        <w:rPr>
          <w:sz w:val="24"/>
        </w:rPr>
      </w:pPr>
      <w:r>
        <w:rPr>
          <w:rFonts w:hint="eastAsia"/>
          <w:sz w:val="24"/>
        </w:rPr>
        <w:t>（一）委托理财的目的</w:t>
      </w:r>
      <w:r>
        <w:rPr>
          <w:sz w:val="24"/>
        </w:rPr>
        <w:t xml:space="preserve"> </w:t>
      </w:r>
    </w:p>
    <w:p w14:paraId="21A6004A" w14:textId="77777777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在不影响正常经营及风险可控的前提下，使用自有闲置资金</w:t>
      </w:r>
      <w:proofErr w:type="gramStart"/>
      <w:r>
        <w:rPr>
          <w:rFonts w:hint="eastAsia"/>
          <w:sz w:val="24"/>
        </w:rPr>
        <w:t>进行低</w:t>
      </w:r>
      <w:proofErr w:type="gramEnd"/>
      <w:r>
        <w:rPr>
          <w:rFonts w:hint="eastAsia"/>
          <w:sz w:val="24"/>
        </w:rPr>
        <w:t>风险与收益相对固定的委托理财，有利于提高公司的资金使用效率，为公司与股东创造更大的收益。</w:t>
      </w:r>
    </w:p>
    <w:p w14:paraId="7865E2DB" w14:textId="77777777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5"/>
        <w:jc w:val="left"/>
        <w:rPr>
          <w:sz w:val="24"/>
        </w:rPr>
      </w:pPr>
      <w:r>
        <w:rPr>
          <w:rFonts w:hint="eastAsia"/>
          <w:sz w:val="24"/>
        </w:rPr>
        <w:t>（二）投资金额</w:t>
      </w:r>
    </w:p>
    <w:p w14:paraId="77BCF2CD" w14:textId="240EBD12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使用单日最高余额不超过人民币</w:t>
      </w:r>
      <w:r w:rsidR="008016C1">
        <w:rPr>
          <w:sz w:val="24"/>
        </w:rPr>
        <w:t>10</w:t>
      </w:r>
      <w:r>
        <w:rPr>
          <w:sz w:val="24"/>
        </w:rPr>
        <w:t>亿元</w:t>
      </w:r>
      <w:r>
        <w:rPr>
          <w:rFonts w:hint="eastAsia"/>
          <w:sz w:val="24"/>
        </w:rPr>
        <w:t>的自有闲置资金进行委托理财，上述资金额度可滚动使用。</w:t>
      </w:r>
    </w:p>
    <w:p w14:paraId="26BB9D6F" w14:textId="77777777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5"/>
        <w:jc w:val="left"/>
        <w:rPr>
          <w:sz w:val="24"/>
        </w:rPr>
      </w:pPr>
      <w:r>
        <w:rPr>
          <w:rFonts w:hint="eastAsia"/>
          <w:sz w:val="24"/>
        </w:rPr>
        <w:t>（三）投资方式</w:t>
      </w:r>
      <w:r>
        <w:rPr>
          <w:sz w:val="24"/>
        </w:rPr>
        <w:t xml:space="preserve"> </w:t>
      </w:r>
    </w:p>
    <w:p w14:paraId="069361A7" w14:textId="36183ED1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公司委托商业银行、信托公司、资产管理公司等机构进行短期低风险投资理财，参与银行理财产品、信托公司信托计划及资产管理公司资产管理计划，投资方向主要为我国银行间市场信用级别较高、流动性较好的金融工具及有预期收益的信托产品、资产管理计划，包括但不限于国债、金融债、央行票据、债券回购以及高信用级别的企业债、公司债、短融、中票等，以及办理商业银行理财业务，风险较低，收益比较固定。</w:t>
      </w:r>
    </w:p>
    <w:p w14:paraId="5F15EB3B" w14:textId="77777777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5"/>
        <w:jc w:val="left"/>
        <w:rPr>
          <w:sz w:val="24"/>
        </w:rPr>
      </w:pPr>
      <w:r>
        <w:rPr>
          <w:rFonts w:hint="eastAsia"/>
          <w:sz w:val="24"/>
        </w:rPr>
        <w:lastRenderedPageBreak/>
        <w:t>公司用于委托理财的闲置资金，不得投资于股票及其衍生产品、证券投资基金、以证券投资为目的的委托理财产品及其他与证券相关的投资。</w:t>
      </w:r>
    </w:p>
    <w:p w14:paraId="66EE0CAD" w14:textId="77777777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5"/>
        <w:jc w:val="left"/>
        <w:rPr>
          <w:sz w:val="24"/>
        </w:rPr>
      </w:pPr>
      <w:r>
        <w:rPr>
          <w:rFonts w:hint="eastAsia"/>
          <w:sz w:val="24"/>
        </w:rPr>
        <w:t>（四）投资期限</w:t>
      </w:r>
      <w:r>
        <w:rPr>
          <w:sz w:val="24"/>
        </w:rPr>
        <w:t xml:space="preserve"> </w:t>
      </w:r>
    </w:p>
    <w:p w14:paraId="5569254F" w14:textId="00568200" w:rsidR="00097654" w:rsidRDefault="00E660D6" w:rsidP="00F41FAF">
      <w:pPr>
        <w:tabs>
          <w:tab w:val="left" w:pos="3240"/>
        </w:tabs>
        <w:snapToGrid w:val="0"/>
        <w:spacing w:line="384" w:lineRule="auto"/>
        <w:ind w:firstLineChars="177" w:firstLine="425"/>
        <w:jc w:val="left"/>
        <w:rPr>
          <w:sz w:val="24"/>
        </w:rPr>
      </w:pPr>
      <w:r>
        <w:rPr>
          <w:rFonts w:hint="eastAsia"/>
          <w:sz w:val="24"/>
        </w:rPr>
        <w:t>上述</w:t>
      </w:r>
      <w:r w:rsidR="00645705">
        <w:rPr>
          <w:rFonts w:hint="eastAsia"/>
          <w:sz w:val="24"/>
        </w:rPr>
        <w:t>额度在2</w:t>
      </w:r>
      <w:r w:rsidR="00645705">
        <w:rPr>
          <w:sz w:val="24"/>
        </w:rPr>
        <w:t>021年度内可滚动使用</w:t>
      </w:r>
      <w:r w:rsidR="00645705">
        <w:rPr>
          <w:rFonts w:hint="eastAsia"/>
          <w:sz w:val="24"/>
        </w:rPr>
        <w:t>，</w:t>
      </w:r>
      <w:r w:rsidRPr="00512C56">
        <w:rPr>
          <w:rFonts w:hint="eastAsia"/>
          <w:sz w:val="24"/>
        </w:rPr>
        <w:t>每笔委托理财的投资期限为十二个月以内。</w:t>
      </w:r>
    </w:p>
    <w:p w14:paraId="3DC92715" w14:textId="77777777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6"/>
        <w:jc w:val="left"/>
        <w:rPr>
          <w:b/>
          <w:sz w:val="24"/>
        </w:rPr>
      </w:pPr>
      <w:r>
        <w:rPr>
          <w:rFonts w:hint="eastAsia"/>
          <w:b/>
          <w:sz w:val="24"/>
        </w:rPr>
        <w:t>二、委托理财的资金来源</w:t>
      </w:r>
      <w:r>
        <w:rPr>
          <w:b/>
          <w:sz w:val="24"/>
        </w:rPr>
        <w:t xml:space="preserve"> </w:t>
      </w:r>
    </w:p>
    <w:p w14:paraId="68ED333B" w14:textId="77777777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5"/>
        <w:jc w:val="left"/>
        <w:rPr>
          <w:sz w:val="24"/>
        </w:rPr>
      </w:pPr>
      <w:r>
        <w:rPr>
          <w:rFonts w:hint="eastAsia"/>
          <w:sz w:val="24"/>
        </w:rPr>
        <w:t>委托理财的资金为公司自有资金，不挤占公司正常运营和项目建设资金，资金来源合法合</w:t>
      </w:r>
      <w:proofErr w:type="gramStart"/>
      <w:r>
        <w:rPr>
          <w:rFonts w:hint="eastAsia"/>
          <w:sz w:val="24"/>
        </w:rPr>
        <w:t>规</w:t>
      </w:r>
      <w:proofErr w:type="gramEnd"/>
      <w:r>
        <w:rPr>
          <w:rFonts w:hint="eastAsia"/>
          <w:sz w:val="24"/>
        </w:rPr>
        <w:t>。</w:t>
      </w:r>
    </w:p>
    <w:p w14:paraId="6ED36022" w14:textId="77777777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6"/>
        <w:jc w:val="left"/>
        <w:rPr>
          <w:sz w:val="24"/>
        </w:rPr>
      </w:pPr>
      <w:r>
        <w:rPr>
          <w:rFonts w:hint="eastAsia"/>
          <w:b/>
          <w:sz w:val="24"/>
        </w:rPr>
        <w:t>三、需履行的审批程序</w:t>
      </w:r>
      <w:r>
        <w:rPr>
          <w:b/>
          <w:sz w:val="24"/>
        </w:rPr>
        <w:t xml:space="preserve"> </w:t>
      </w:r>
    </w:p>
    <w:p w14:paraId="3E1BE24D" w14:textId="2D504D58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5"/>
        <w:jc w:val="left"/>
        <w:rPr>
          <w:sz w:val="24"/>
        </w:rPr>
      </w:pPr>
      <w:r>
        <w:rPr>
          <w:rFonts w:hint="eastAsia"/>
          <w:sz w:val="24"/>
        </w:rPr>
        <w:t>根据《深圳证券交易所上市公司规范运作指引》及《公司章程》的相关规定，本次委托理财事项经公司第七届董事会第</w:t>
      </w:r>
      <w:r w:rsidR="0063677B">
        <w:rPr>
          <w:rFonts w:hint="eastAsia"/>
          <w:sz w:val="24"/>
        </w:rPr>
        <w:t>二十五</w:t>
      </w:r>
      <w:r>
        <w:rPr>
          <w:rFonts w:hint="eastAsia"/>
          <w:sz w:val="24"/>
        </w:rPr>
        <w:t>次（定期）会议审议通过后，尚需提交公司</w:t>
      </w:r>
      <w:r w:rsidR="00865898">
        <w:rPr>
          <w:rFonts w:hint="eastAsia"/>
          <w:sz w:val="24"/>
        </w:rPr>
        <w:t>2</w:t>
      </w:r>
      <w:r w:rsidR="00865898">
        <w:rPr>
          <w:sz w:val="24"/>
        </w:rPr>
        <w:t>020年年度</w:t>
      </w:r>
      <w:r>
        <w:rPr>
          <w:rFonts w:hint="eastAsia"/>
          <w:sz w:val="24"/>
        </w:rPr>
        <w:t>股东大会审议。</w:t>
      </w:r>
    </w:p>
    <w:p w14:paraId="4EC577D1" w14:textId="77777777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6"/>
        <w:jc w:val="left"/>
        <w:rPr>
          <w:b/>
          <w:sz w:val="24"/>
        </w:rPr>
      </w:pPr>
      <w:r>
        <w:rPr>
          <w:rFonts w:hint="eastAsia"/>
          <w:b/>
          <w:sz w:val="24"/>
        </w:rPr>
        <w:t>四、委托理财对公司的影响</w:t>
      </w:r>
      <w:r>
        <w:rPr>
          <w:b/>
          <w:sz w:val="24"/>
        </w:rPr>
        <w:t xml:space="preserve"> </w:t>
      </w:r>
    </w:p>
    <w:p w14:paraId="08927096" w14:textId="77777777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5"/>
        <w:jc w:val="left"/>
        <w:rPr>
          <w:sz w:val="24"/>
        </w:rPr>
      </w:pPr>
      <w:r>
        <w:rPr>
          <w:rFonts w:hint="eastAsia"/>
          <w:sz w:val="24"/>
        </w:rPr>
        <w:t>公司委托理财所选择的银行集合理财计划、信托公司信托计划及资产管理公司资产管理计划，投资方向均为低风险产品品种。公司对委托理财产品的风险、收益及未来的资金需求进行了充分的预估与测算，相应资金的使用不会影响公司的日常经营运作与主营业务的发展，有利于提高公司的闲置资金的使用效率。</w:t>
      </w:r>
    </w:p>
    <w:p w14:paraId="74F5CDEE" w14:textId="77777777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6"/>
        <w:jc w:val="left"/>
        <w:rPr>
          <w:b/>
          <w:sz w:val="24"/>
        </w:rPr>
      </w:pPr>
      <w:r>
        <w:rPr>
          <w:rFonts w:hint="eastAsia"/>
          <w:b/>
          <w:sz w:val="24"/>
        </w:rPr>
        <w:t>五、风险控制</w:t>
      </w:r>
      <w:r>
        <w:rPr>
          <w:b/>
          <w:sz w:val="24"/>
        </w:rPr>
        <w:t xml:space="preserve"> </w:t>
      </w:r>
    </w:p>
    <w:p w14:paraId="14EA2072" w14:textId="77777777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5"/>
        <w:jc w:val="left"/>
        <w:rPr>
          <w:sz w:val="24"/>
        </w:rPr>
      </w:pPr>
      <w:r>
        <w:rPr>
          <w:rFonts w:hint="eastAsia"/>
          <w:sz w:val="24"/>
        </w:rPr>
        <w:t>公司制定了《证券投资管理制度》（2018年11月修订），对委托理财的权限、审核流程、报告制度、受托方选择、日常监控与核查及责任追究等方面做了详尽的规定，以有效防范投资风险，确保资金安全。</w:t>
      </w:r>
    </w:p>
    <w:p w14:paraId="74EB67FD" w14:textId="77777777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6"/>
        <w:jc w:val="left"/>
        <w:rPr>
          <w:b/>
          <w:sz w:val="24"/>
        </w:rPr>
      </w:pPr>
      <w:r>
        <w:rPr>
          <w:rFonts w:hint="eastAsia"/>
          <w:b/>
          <w:sz w:val="24"/>
        </w:rPr>
        <w:t>六、独立董事关于委托理财事项的独立意见</w:t>
      </w:r>
    </w:p>
    <w:p w14:paraId="0601460E" w14:textId="77777777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5"/>
        <w:jc w:val="left"/>
        <w:rPr>
          <w:sz w:val="24"/>
        </w:rPr>
      </w:pPr>
      <w:r>
        <w:rPr>
          <w:rFonts w:hint="eastAsia"/>
          <w:sz w:val="24"/>
        </w:rPr>
        <w:t>公司进行委托理财，符合相关法规与规则的规定；公司建立的《证券投资管理制度》明确了委托理财的审批流程与权限，加强风险管控，可以有效防范投资风险，保障公司资金安全；公司本次以自有闲置资金进行委托理财，有利于提高公司闲置资金的使用效率，不会影响公司主营业务的正常开展，不存在损害公司及中小股东利益的行为。</w:t>
      </w:r>
    </w:p>
    <w:p w14:paraId="79E94559" w14:textId="77777777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6"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七</w:t>
      </w:r>
      <w:r>
        <w:rPr>
          <w:b/>
          <w:sz w:val="24"/>
        </w:rPr>
        <w:t>、备查文件目录</w:t>
      </w:r>
    </w:p>
    <w:p w14:paraId="0516655E" w14:textId="4FCE3441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5"/>
        <w:jc w:val="left"/>
        <w:rPr>
          <w:sz w:val="24"/>
        </w:rPr>
      </w:pPr>
      <w:r>
        <w:rPr>
          <w:sz w:val="24"/>
        </w:rPr>
        <w:t>1、第</w:t>
      </w:r>
      <w:r>
        <w:rPr>
          <w:rFonts w:hint="eastAsia"/>
          <w:sz w:val="24"/>
        </w:rPr>
        <w:t>七</w:t>
      </w:r>
      <w:r>
        <w:rPr>
          <w:sz w:val="24"/>
        </w:rPr>
        <w:t>届董事会第</w:t>
      </w:r>
      <w:r w:rsidR="00354F4A">
        <w:rPr>
          <w:rFonts w:hint="eastAsia"/>
          <w:sz w:val="24"/>
        </w:rPr>
        <w:t>二十五</w:t>
      </w:r>
      <w:r>
        <w:rPr>
          <w:sz w:val="24"/>
        </w:rPr>
        <w:t>次</w:t>
      </w:r>
      <w:r>
        <w:rPr>
          <w:rFonts w:hint="eastAsia"/>
          <w:sz w:val="24"/>
        </w:rPr>
        <w:t>（定期）</w:t>
      </w:r>
      <w:r>
        <w:rPr>
          <w:sz w:val="24"/>
        </w:rPr>
        <w:t>会议决议；</w:t>
      </w:r>
    </w:p>
    <w:p w14:paraId="473B6857" w14:textId="5EE0F4EF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177" w:firstLine="425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、</w:t>
      </w:r>
      <w:r w:rsidR="00354F4A">
        <w:rPr>
          <w:rFonts w:ascii="Times New Roman" w:hAnsi="Times New Roman" w:hint="eastAsia"/>
          <w:color w:val="000000"/>
          <w:sz w:val="24"/>
        </w:rPr>
        <w:t>独立董事关于第七届董事会第二十五</w:t>
      </w:r>
      <w:r>
        <w:rPr>
          <w:rFonts w:ascii="Times New Roman" w:hAnsi="Times New Roman" w:hint="eastAsia"/>
          <w:color w:val="000000"/>
          <w:sz w:val="24"/>
        </w:rPr>
        <w:t>次（定期）会议相关事项的独立意见</w:t>
      </w:r>
      <w:r>
        <w:rPr>
          <w:rFonts w:hint="eastAsia"/>
          <w:sz w:val="24"/>
        </w:rPr>
        <w:t>。</w:t>
      </w:r>
    </w:p>
    <w:p w14:paraId="4D1EBD5A" w14:textId="29076AC5" w:rsidR="00097654" w:rsidRDefault="00941BF8" w:rsidP="00F41FAF">
      <w:pPr>
        <w:tabs>
          <w:tab w:val="left" w:pos="3240"/>
        </w:tabs>
        <w:snapToGrid w:val="0"/>
        <w:spacing w:beforeLines="50" w:before="190" w:line="384" w:lineRule="auto"/>
        <w:ind w:firstLineChars="177" w:firstLine="425"/>
        <w:jc w:val="left"/>
        <w:rPr>
          <w:sz w:val="24"/>
        </w:rPr>
      </w:pPr>
      <w:r>
        <w:rPr>
          <w:sz w:val="24"/>
        </w:rPr>
        <w:t>特此公告</w:t>
      </w:r>
      <w:r>
        <w:rPr>
          <w:rFonts w:hint="eastAsia"/>
          <w:sz w:val="24"/>
        </w:rPr>
        <w:t>。</w:t>
      </w:r>
    </w:p>
    <w:p w14:paraId="2F53072E" w14:textId="77777777" w:rsidR="00097654" w:rsidRDefault="00097654" w:rsidP="00F41FAF">
      <w:pPr>
        <w:tabs>
          <w:tab w:val="left" w:pos="3240"/>
        </w:tabs>
        <w:snapToGrid w:val="0"/>
        <w:spacing w:line="384" w:lineRule="auto"/>
        <w:ind w:firstLineChars="177" w:firstLine="425"/>
        <w:jc w:val="left"/>
        <w:rPr>
          <w:sz w:val="24"/>
        </w:rPr>
      </w:pPr>
    </w:p>
    <w:p w14:paraId="1F472F41" w14:textId="77777777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250" w:firstLine="600"/>
        <w:jc w:val="right"/>
        <w:rPr>
          <w:sz w:val="24"/>
        </w:rPr>
      </w:pPr>
      <w:r>
        <w:rPr>
          <w:sz w:val="24"/>
        </w:rPr>
        <w:t>三</w:t>
      </w:r>
      <w:proofErr w:type="gramStart"/>
      <w:r>
        <w:rPr>
          <w:sz w:val="24"/>
        </w:rPr>
        <w:t>湘</w:t>
      </w:r>
      <w:r>
        <w:rPr>
          <w:rFonts w:hint="eastAsia"/>
          <w:sz w:val="24"/>
        </w:rPr>
        <w:t>印象</w:t>
      </w:r>
      <w:proofErr w:type="gramEnd"/>
      <w:r>
        <w:rPr>
          <w:sz w:val="24"/>
        </w:rPr>
        <w:t>股份有限公司董事会</w:t>
      </w:r>
    </w:p>
    <w:p w14:paraId="08EC854B" w14:textId="1CD0958D" w:rsidR="00097654" w:rsidRDefault="004C1FE8" w:rsidP="00F41FAF">
      <w:pPr>
        <w:tabs>
          <w:tab w:val="left" w:pos="3240"/>
        </w:tabs>
        <w:snapToGrid w:val="0"/>
        <w:spacing w:line="384" w:lineRule="auto"/>
        <w:ind w:firstLineChars="250" w:firstLine="600"/>
        <w:jc w:val="right"/>
        <w:rPr>
          <w:sz w:val="18"/>
          <w:szCs w:val="18"/>
        </w:rPr>
      </w:pPr>
      <w:r>
        <w:rPr>
          <w:sz w:val="24"/>
        </w:rPr>
        <w:t xml:space="preserve"> 202</w:t>
      </w:r>
      <w:r w:rsidR="00354F4A">
        <w:rPr>
          <w:sz w:val="24"/>
        </w:rPr>
        <w:t>1</w:t>
      </w:r>
      <w:r>
        <w:rPr>
          <w:sz w:val="24"/>
        </w:rPr>
        <w:t>年</w:t>
      </w:r>
      <w:r>
        <w:rPr>
          <w:rFonts w:hint="eastAsia"/>
          <w:sz w:val="24"/>
        </w:rPr>
        <w:t>4</w:t>
      </w:r>
      <w:r>
        <w:rPr>
          <w:sz w:val="24"/>
        </w:rPr>
        <w:t>月</w:t>
      </w:r>
      <w:r>
        <w:rPr>
          <w:rFonts w:hint="eastAsia"/>
          <w:sz w:val="24"/>
        </w:rPr>
        <w:t>2</w:t>
      </w:r>
      <w:r w:rsidR="00354F4A">
        <w:rPr>
          <w:sz w:val="24"/>
        </w:rPr>
        <w:t>6</w:t>
      </w:r>
      <w:r>
        <w:rPr>
          <w:sz w:val="24"/>
        </w:rPr>
        <w:t>日</w:t>
      </w:r>
    </w:p>
    <w:p w14:paraId="74C235F5" w14:textId="77777777" w:rsidR="00097654" w:rsidRDefault="00097654">
      <w:pPr>
        <w:spacing w:line="360" w:lineRule="auto"/>
        <w:ind w:firstLineChars="2350" w:firstLine="5662"/>
        <w:contextualSpacing/>
        <w:jc w:val="right"/>
        <w:rPr>
          <w:b/>
          <w:color w:val="000000"/>
          <w:sz w:val="24"/>
          <w:shd w:val="clear" w:color="auto" w:fill="FFFFFF"/>
        </w:rPr>
      </w:pPr>
    </w:p>
    <w:sectPr w:rsidR="0009765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8926C" w14:textId="77777777" w:rsidR="00F462DF" w:rsidRDefault="00F462DF">
      <w:r>
        <w:separator/>
      </w:r>
    </w:p>
  </w:endnote>
  <w:endnote w:type="continuationSeparator" w:id="0">
    <w:p w14:paraId="7A52F955" w14:textId="77777777" w:rsidR="00F462DF" w:rsidRDefault="00F4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32558"/>
      <w:docPartObj>
        <w:docPartGallery w:val="Page Numbers (Bottom of Page)"/>
        <w:docPartUnique/>
      </w:docPartObj>
    </w:sdtPr>
    <w:sdtEndPr/>
    <w:sdtContent>
      <w:p w14:paraId="6EB89C65" w14:textId="1D49685D" w:rsidR="00097654" w:rsidRDefault="00354F4A" w:rsidP="00354F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EA3" w:rsidRPr="00C46EA3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9A6A1" w14:textId="77777777" w:rsidR="00F462DF" w:rsidRDefault="00F462DF">
      <w:r>
        <w:separator/>
      </w:r>
    </w:p>
  </w:footnote>
  <w:footnote w:type="continuationSeparator" w:id="0">
    <w:p w14:paraId="7A56C942" w14:textId="77777777" w:rsidR="00F462DF" w:rsidRDefault="00F4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81FC4" w14:textId="77777777" w:rsidR="00097654" w:rsidRDefault="00097654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4"/>
    <w:rsid w:val="00001F88"/>
    <w:rsid w:val="00002A2D"/>
    <w:rsid w:val="0000477A"/>
    <w:rsid w:val="000065DA"/>
    <w:rsid w:val="00007E99"/>
    <w:rsid w:val="0001109D"/>
    <w:rsid w:val="0001218B"/>
    <w:rsid w:val="000128BB"/>
    <w:rsid w:val="00014F62"/>
    <w:rsid w:val="000229A9"/>
    <w:rsid w:val="00022A69"/>
    <w:rsid w:val="00022C76"/>
    <w:rsid w:val="00026EEB"/>
    <w:rsid w:val="00027F37"/>
    <w:rsid w:val="0003028A"/>
    <w:rsid w:val="000308E0"/>
    <w:rsid w:val="0003136C"/>
    <w:rsid w:val="000322DA"/>
    <w:rsid w:val="00033880"/>
    <w:rsid w:val="00033A5E"/>
    <w:rsid w:val="00036E8C"/>
    <w:rsid w:val="0004355F"/>
    <w:rsid w:val="00044216"/>
    <w:rsid w:val="00044F94"/>
    <w:rsid w:val="0004721C"/>
    <w:rsid w:val="00050C4C"/>
    <w:rsid w:val="00053AE8"/>
    <w:rsid w:val="00060271"/>
    <w:rsid w:val="00061618"/>
    <w:rsid w:val="000660ED"/>
    <w:rsid w:val="00066BEB"/>
    <w:rsid w:val="00066F91"/>
    <w:rsid w:val="00071D3A"/>
    <w:rsid w:val="00075D75"/>
    <w:rsid w:val="000765F5"/>
    <w:rsid w:val="000769EA"/>
    <w:rsid w:val="00083DAE"/>
    <w:rsid w:val="00086CEE"/>
    <w:rsid w:val="000877B6"/>
    <w:rsid w:val="00092765"/>
    <w:rsid w:val="00093454"/>
    <w:rsid w:val="00094BBF"/>
    <w:rsid w:val="0009547F"/>
    <w:rsid w:val="000962CC"/>
    <w:rsid w:val="00097654"/>
    <w:rsid w:val="000A156D"/>
    <w:rsid w:val="000A67A3"/>
    <w:rsid w:val="000B25E6"/>
    <w:rsid w:val="000B3838"/>
    <w:rsid w:val="000B3E13"/>
    <w:rsid w:val="000B54C1"/>
    <w:rsid w:val="000B786E"/>
    <w:rsid w:val="000B7D76"/>
    <w:rsid w:val="000C11CD"/>
    <w:rsid w:val="000C6621"/>
    <w:rsid w:val="000C67F3"/>
    <w:rsid w:val="000C6FF7"/>
    <w:rsid w:val="000D2658"/>
    <w:rsid w:val="000D40F7"/>
    <w:rsid w:val="000D47EE"/>
    <w:rsid w:val="000E3CA0"/>
    <w:rsid w:val="000E3ED2"/>
    <w:rsid w:val="000E492D"/>
    <w:rsid w:val="000E5194"/>
    <w:rsid w:val="000E532A"/>
    <w:rsid w:val="000F0DEA"/>
    <w:rsid w:val="000F140E"/>
    <w:rsid w:val="000F7F4A"/>
    <w:rsid w:val="00100972"/>
    <w:rsid w:val="0010254C"/>
    <w:rsid w:val="001042E3"/>
    <w:rsid w:val="001044E2"/>
    <w:rsid w:val="001058A5"/>
    <w:rsid w:val="00106609"/>
    <w:rsid w:val="00110463"/>
    <w:rsid w:val="00111C16"/>
    <w:rsid w:val="00111D73"/>
    <w:rsid w:val="00112032"/>
    <w:rsid w:val="001154CF"/>
    <w:rsid w:val="0011624B"/>
    <w:rsid w:val="001207E6"/>
    <w:rsid w:val="00122619"/>
    <w:rsid w:val="00122BD6"/>
    <w:rsid w:val="00126BEB"/>
    <w:rsid w:val="00130E5E"/>
    <w:rsid w:val="0013150C"/>
    <w:rsid w:val="001357C1"/>
    <w:rsid w:val="001378D2"/>
    <w:rsid w:val="00142A37"/>
    <w:rsid w:val="00143BF9"/>
    <w:rsid w:val="0014471E"/>
    <w:rsid w:val="0015337C"/>
    <w:rsid w:val="00153AA9"/>
    <w:rsid w:val="00156D05"/>
    <w:rsid w:val="00157101"/>
    <w:rsid w:val="00157DAC"/>
    <w:rsid w:val="00160527"/>
    <w:rsid w:val="00161806"/>
    <w:rsid w:val="0016232E"/>
    <w:rsid w:val="00162DF7"/>
    <w:rsid w:val="00165480"/>
    <w:rsid w:val="00171DC8"/>
    <w:rsid w:val="0017275A"/>
    <w:rsid w:val="00172F1F"/>
    <w:rsid w:val="0017680B"/>
    <w:rsid w:val="00184614"/>
    <w:rsid w:val="00190BA5"/>
    <w:rsid w:val="00190D57"/>
    <w:rsid w:val="00192516"/>
    <w:rsid w:val="0019565B"/>
    <w:rsid w:val="00197ECA"/>
    <w:rsid w:val="001A0975"/>
    <w:rsid w:val="001A57C4"/>
    <w:rsid w:val="001B1DC4"/>
    <w:rsid w:val="001B3BC3"/>
    <w:rsid w:val="001B545C"/>
    <w:rsid w:val="001B5E98"/>
    <w:rsid w:val="001C0CF4"/>
    <w:rsid w:val="001C244A"/>
    <w:rsid w:val="001C32EE"/>
    <w:rsid w:val="001C41EB"/>
    <w:rsid w:val="001C751F"/>
    <w:rsid w:val="001C7798"/>
    <w:rsid w:val="001D2897"/>
    <w:rsid w:val="001D501C"/>
    <w:rsid w:val="001E0267"/>
    <w:rsid w:val="001E0B78"/>
    <w:rsid w:val="001E23DE"/>
    <w:rsid w:val="001E23E6"/>
    <w:rsid w:val="001E2ADE"/>
    <w:rsid w:val="001E2BF8"/>
    <w:rsid w:val="001E4609"/>
    <w:rsid w:val="001F2D73"/>
    <w:rsid w:val="001F66CC"/>
    <w:rsid w:val="001F7CF5"/>
    <w:rsid w:val="00206D43"/>
    <w:rsid w:val="0021004E"/>
    <w:rsid w:val="002115E7"/>
    <w:rsid w:val="0021289C"/>
    <w:rsid w:val="002134B2"/>
    <w:rsid w:val="0021580D"/>
    <w:rsid w:val="0021630F"/>
    <w:rsid w:val="00216B4D"/>
    <w:rsid w:val="00220A74"/>
    <w:rsid w:val="00220B3D"/>
    <w:rsid w:val="0022263F"/>
    <w:rsid w:val="00223401"/>
    <w:rsid w:val="00225C3A"/>
    <w:rsid w:val="00227BAD"/>
    <w:rsid w:val="002302FB"/>
    <w:rsid w:val="00231CD5"/>
    <w:rsid w:val="0023220C"/>
    <w:rsid w:val="00234A2A"/>
    <w:rsid w:val="00240336"/>
    <w:rsid w:val="002428DF"/>
    <w:rsid w:val="00242A41"/>
    <w:rsid w:val="00242E79"/>
    <w:rsid w:val="002508EC"/>
    <w:rsid w:val="00251411"/>
    <w:rsid w:val="0025200D"/>
    <w:rsid w:val="00252E2C"/>
    <w:rsid w:val="0025537E"/>
    <w:rsid w:val="00255833"/>
    <w:rsid w:val="0025610B"/>
    <w:rsid w:val="0026075D"/>
    <w:rsid w:val="002619A3"/>
    <w:rsid w:val="00263D25"/>
    <w:rsid w:val="0026494C"/>
    <w:rsid w:val="00266547"/>
    <w:rsid w:val="0027399C"/>
    <w:rsid w:val="0027692E"/>
    <w:rsid w:val="00277B9D"/>
    <w:rsid w:val="00280177"/>
    <w:rsid w:val="00281D7F"/>
    <w:rsid w:val="00283596"/>
    <w:rsid w:val="0028739A"/>
    <w:rsid w:val="002900D7"/>
    <w:rsid w:val="0029049D"/>
    <w:rsid w:val="002A10D2"/>
    <w:rsid w:val="002A12F2"/>
    <w:rsid w:val="002A15D5"/>
    <w:rsid w:val="002A22DF"/>
    <w:rsid w:val="002A3C2A"/>
    <w:rsid w:val="002A4761"/>
    <w:rsid w:val="002B0C2A"/>
    <w:rsid w:val="002B11AD"/>
    <w:rsid w:val="002B3E9A"/>
    <w:rsid w:val="002B4068"/>
    <w:rsid w:val="002B4BDC"/>
    <w:rsid w:val="002C3280"/>
    <w:rsid w:val="002C395B"/>
    <w:rsid w:val="002C4E03"/>
    <w:rsid w:val="002C58DC"/>
    <w:rsid w:val="002D3741"/>
    <w:rsid w:val="002D3EBE"/>
    <w:rsid w:val="002D534E"/>
    <w:rsid w:val="002E2856"/>
    <w:rsid w:val="002E4545"/>
    <w:rsid w:val="002F0FED"/>
    <w:rsid w:val="002F26B5"/>
    <w:rsid w:val="002F3707"/>
    <w:rsid w:val="002F6571"/>
    <w:rsid w:val="002F7F00"/>
    <w:rsid w:val="003019CD"/>
    <w:rsid w:val="00302ECC"/>
    <w:rsid w:val="00304F80"/>
    <w:rsid w:val="00310717"/>
    <w:rsid w:val="00311C99"/>
    <w:rsid w:val="00312348"/>
    <w:rsid w:val="00315481"/>
    <w:rsid w:val="0031750F"/>
    <w:rsid w:val="0031767C"/>
    <w:rsid w:val="00320291"/>
    <w:rsid w:val="00320B4B"/>
    <w:rsid w:val="00323A11"/>
    <w:rsid w:val="00323A37"/>
    <w:rsid w:val="003273CE"/>
    <w:rsid w:val="0033297B"/>
    <w:rsid w:val="00335E63"/>
    <w:rsid w:val="00342F0B"/>
    <w:rsid w:val="00346A9A"/>
    <w:rsid w:val="00350E76"/>
    <w:rsid w:val="00351CC6"/>
    <w:rsid w:val="00352E90"/>
    <w:rsid w:val="00354F4A"/>
    <w:rsid w:val="00361E3E"/>
    <w:rsid w:val="00361E9E"/>
    <w:rsid w:val="0036281D"/>
    <w:rsid w:val="00363DF7"/>
    <w:rsid w:val="00364F61"/>
    <w:rsid w:val="00377356"/>
    <w:rsid w:val="0038114E"/>
    <w:rsid w:val="00383196"/>
    <w:rsid w:val="0038429E"/>
    <w:rsid w:val="00386359"/>
    <w:rsid w:val="0038749D"/>
    <w:rsid w:val="00387F0D"/>
    <w:rsid w:val="00390113"/>
    <w:rsid w:val="0039017D"/>
    <w:rsid w:val="003925F5"/>
    <w:rsid w:val="00394C21"/>
    <w:rsid w:val="003A254E"/>
    <w:rsid w:val="003A2E66"/>
    <w:rsid w:val="003A3ACF"/>
    <w:rsid w:val="003A57AA"/>
    <w:rsid w:val="003A7284"/>
    <w:rsid w:val="003B065E"/>
    <w:rsid w:val="003B3C47"/>
    <w:rsid w:val="003B62CC"/>
    <w:rsid w:val="003B6EBE"/>
    <w:rsid w:val="003C2905"/>
    <w:rsid w:val="003C506D"/>
    <w:rsid w:val="003D1986"/>
    <w:rsid w:val="003D35D9"/>
    <w:rsid w:val="003D5B82"/>
    <w:rsid w:val="003D68E3"/>
    <w:rsid w:val="003D7480"/>
    <w:rsid w:val="003D7E75"/>
    <w:rsid w:val="003E302F"/>
    <w:rsid w:val="003E3BA2"/>
    <w:rsid w:val="003E4175"/>
    <w:rsid w:val="003F1374"/>
    <w:rsid w:val="003F616B"/>
    <w:rsid w:val="0040346D"/>
    <w:rsid w:val="00404FAA"/>
    <w:rsid w:val="004101F6"/>
    <w:rsid w:val="00410AC7"/>
    <w:rsid w:val="00410C6A"/>
    <w:rsid w:val="004116DB"/>
    <w:rsid w:val="004118AC"/>
    <w:rsid w:val="00415492"/>
    <w:rsid w:val="00426537"/>
    <w:rsid w:val="00426B52"/>
    <w:rsid w:val="00426F36"/>
    <w:rsid w:val="004343EC"/>
    <w:rsid w:val="004366D0"/>
    <w:rsid w:val="00440804"/>
    <w:rsid w:val="00441CCE"/>
    <w:rsid w:val="004422D7"/>
    <w:rsid w:val="004441E2"/>
    <w:rsid w:val="00447257"/>
    <w:rsid w:val="004512A8"/>
    <w:rsid w:val="00453B1C"/>
    <w:rsid w:val="004619DE"/>
    <w:rsid w:val="0046224F"/>
    <w:rsid w:val="004629BC"/>
    <w:rsid w:val="00462D82"/>
    <w:rsid w:val="00463DCC"/>
    <w:rsid w:val="004679D6"/>
    <w:rsid w:val="004738E7"/>
    <w:rsid w:val="00474B7E"/>
    <w:rsid w:val="00475ED3"/>
    <w:rsid w:val="00476460"/>
    <w:rsid w:val="004857AF"/>
    <w:rsid w:val="00487002"/>
    <w:rsid w:val="00487CFB"/>
    <w:rsid w:val="00491441"/>
    <w:rsid w:val="00495495"/>
    <w:rsid w:val="004A12B7"/>
    <w:rsid w:val="004A2078"/>
    <w:rsid w:val="004A2CD7"/>
    <w:rsid w:val="004A5113"/>
    <w:rsid w:val="004B1712"/>
    <w:rsid w:val="004B3349"/>
    <w:rsid w:val="004B4E56"/>
    <w:rsid w:val="004B5CA5"/>
    <w:rsid w:val="004C111F"/>
    <w:rsid w:val="004C1FE8"/>
    <w:rsid w:val="004C3058"/>
    <w:rsid w:val="004C3AB8"/>
    <w:rsid w:val="004C6172"/>
    <w:rsid w:val="004D36D7"/>
    <w:rsid w:val="004D43BD"/>
    <w:rsid w:val="004D47E5"/>
    <w:rsid w:val="004E654A"/>
    <w:rsid w:val="004F3430"/>
    <w:rsid w:val="004F5B22"/>
    <w:rsid w:val="005029CE"/>
    <w:rsid w:val="00502ACC"/>
    <w:rsid w:val="00505E4A"/>
    <w:rsid w:val="005127CD"/>
    <w:rsid w:val="00516F11"/>
    <w:rsid w:val="0052142F"/>
    <w:rsid w:val="00521710"/>
    <w:rsid w:val="00524194"/>
    <w:rsid w:val="00525436"/>
    <w:rsid w:val="00532B3C"/>
    <w:rsid w:val="00533A3E"/>
    <w:rsid w:val="00533E17"/>
    <w:rsid w:val="00537419"/>
    <w:rsid w:val="005421EE"/>
    <w:rsid w:val="00543AB4"/>
    <w:rsid w:val="00544ACF"/>
    <w:rsid w:val="005466E0"/>
    <w:rsid w:val="005528F1"/>
    <w:rsid w:val="00557933"/>
    <w:rsid w:val="00562BFE"/>
    <w:rsid w:val="00564AF3"/>
    <w:rsid w:val="005651E4"/>
    <w:rsid w:val="00565CBB"/>
    <w:rsid w:val="00571B96"/>
    <w:rsid w:val="00575C52"/>
    <w:rsid w:val="0058107D"/>
    <w:rsid w:val="00581399"/>
    <w:rsid w:val="005826A2"/>
    <w:rsid w:val="0058461A"/>
    <w:rsid w:val="0058745E"/>
    <w:rsid w:val="005878C9"/>
    <w:rsid w:val="00587B53"/>
    <w:rsid w:val="0059203B"/>
    <w:rsid w:val="00592FDD"/>
    <w:rsid w:val="005970F8"/>
    <w:rsid w:val="005A4236"/>
    <w:rsid w:val="005A7FC6"/>
    <w:rsid w:val="005B03F8"/>
    <w:rsid w:val="005B08AA"/>
    <w:rsid w:val="005B1EC2"/>
    <w:rsid w:val="005B307C"/>
    <w:rsid w:val="005B623E"/>
    <w:rsid w:val="005B6B05"/>
    <w:rsid w:val="005B7D8E"/>
    <w:rsid w:val="005C2C68"/>
    <w:rsid w:val="005C2E64"/>
    <w:rsid w:val="005C47EA"/>
    <w:rsid w:val="005C5051"/>
    <w:rsid w:val="005C71A5"/>
    <w:rsid w:val="005C78FE"/>
    <w:rsid w:val="005D05B5"/>
    <w:rsid w:val="005D10F7"/>
    <w:rsid w:val="005D29A8"/>
    <w:rsid w:val="005D7D9C"/>
    <w:rsid w:val="005E1CE6"/>
    <w:rsid w:val="005E1F0F"/>
    <w:rsid w:val="005E21DF"/>
    <w:rsid w:val="005E4756"/>
    <w:rsid w:val="005E74EF"/>
    <w:rsid w:val="0060096A"/>
    <w:rsid w:val="00602573"/>
    <w:rsid w:val="006031ED"/>
    <w:rsid w:val="00607F68"/>
    <w:rsid w:val="00611434"/>
    <w:rsid w:val="00611DC9"/>
    <w:rsid w:val="00612F82"/>
    <w:rsid w:val="00620FB0"/>
    <w:rsid w:val="006265B2"/>
    <w:rsid w:val="006271E4"/>
    <w:rsid w:val="006302B9"/>
    <w:rsid w:val="00632015"/>
    <w:rsid w:val="006360B6"/>
    <w:rsid w:val="0063677B"/>
    <w:rsid w:val="00642622"/>
    <w:rsid w:val="006426F4"/>
    <w:rsid w:val="006427D7"/>
    <w:rsid w:val="00645705"/>
    <w:rsid w:val="00650ADD"/>
    <w:rsid w:val="00650DE9"/>
    <w:rsid w:val="006516CC"/>
    <w:rsid w:val="00652E32"/>
    <w:rsid w:val="0065395A"/>
    <w:rsid w:val="006612C3"/>
    <w:rsid w:val="00661D0E"/>
    <w:rsid w:val="006649E5"/>
    <w:rsid w:val="00666115"/>
    <w:rsid w:val="00675050"/>
    <w:rsid w:val="0067592D"/>
    <w:rsid w:val="006832A4"/>
    <w:rsid w:val="006833C2"/>
    <w:rsid w:val="00687C54"/>
    <w:rsid w:val="00691153"/>
    <w:rsid w:val="00694B04"/>
    <w:rsid w:val="006958F1"/>
    <w:rsid w:val="00695B18"/>
    <w:rsid w:val="006A1273"/>
    <w:rsid w:val="006A18B6"/>
    <w:rsid w:val="006A207E"/>
    <w:rsid w:val="006A44F6"/>
    <w:rsid w:val="006B2B65"/>
    <w:rsid w:val="006B636A"/>
    <w:rsid w:val="006C0BE7"/>
    <w:rsid w:val="006C29AB"/>
    <w:rsid w:val="006C3388"/>
    <w:rsid w:val="006C35F4"/>
    <w:rsid w:val="006C3DB7"/>
    <w:rsid w:val="006D0BFB"/>
    <w:rsid w:val="006D136A"/>
    <w:rsid w:val="006D6050"/>
    <w:rsid w:val="006D71A2"/>
    <w:rsid w:val="006D7CE9"/>
    <w:rsid w:val="006D7E4E"/>
    <w:rsid w:val="006E04D2"/>
    <w:rsid w:val="006E11F0"/>
    <w:rsid w:val="006E1691"/>
    <w:rsid w:val="006E235D"/>
    <w:rsid w:val="006E3F00"/>
    <w:rsid w:val="006E4584"/>
    <w:rsid w:val="006E4642"/>
    <w:rsid w:val="006E5872"/>
    <w:rsid w:val="006E5B50"/>
    <w:rsid w:val="006F13FD"/>
    <w:rsid w:val="006F3A04"/>
    <w:rsid w:val="00700BF3"/>
    <w:rsid w:val="00702461"/>
    <w:rsid w:val="0071593A"/>
    <w:rsid w:val="007178E7"/>
    <w:rsid w:val="00720326"/>
    <w:rsid w:val="00722AE5"/>
    <w:rsid w:val="0072375C"/>
    <w:rsid w:val="007279C0"/>
    <w:rsid w:val="00727AB5"/>
    <w:rsid w:val="00732A03"/>
    <w:rsid w:val="007344D9"/>
    <w:rsid w:val="007355F3"/>
    <w:rsid w:val="00736989"/>
    <w:rsid w:val="00740785"/>
    <w:rsid w:val="00740B87"/>
    <w:rsid w:val="00742752"/>
    <w:rsid w:val="007427CB"/>
    <w:rsid w:val="00742B98"/>
    <w:rsid w:val="0074311E"/>
    <w:rsid w:val="00743D83"/>
    <w:rsid w:val="00745D9C"/>
    <w:rsid w:val="00746837"/>
    <w:rsid w:val="00746898"/>
    <w:rsid w:val="0075135A"/>
    <w:rsid w:val="00753463"/>
    <w:rsid w:val="00754FE9"/>
    <w:rsid w:val="0075724A"/>
    <w:rsid w:val="00757EEF"/>
    <w:rsid w:val="00761EDD"/>
    <w:rsid w:val="00763BE9"/>
    <w:rsid w:val="007657D2"/>
    <w:rsid w:val="00765C4B"/>
    <w:rsid w:val="007702A4"/>
    <w:rsid w:val="00777121"/>
    <w:rsid w:val="00781BAE"/>
    <w:rsid w:val="007959CC"/>
    <w:rsid w:val="00797110"/>
    <w:rsid w:val="007978B6"/>
    <w:rsid w:val="00797EAF"/>
    <w:rsid w:val="007A0BCE"/>
    <w:rsid w:val="007A36E1"/>
    <w:rsid w:val="007A3E40"/>
    <w:rsid w:val="007A6A7D"/>
    <w:rsid w:val="007B0D40"/>
    <w:rsid w:val="007B136C"/>
    <w:rsid w:val="007B307E"/>
    <w:rsid w:val="007B3646"/>
    <w:rsid w:val="007B438D"/>
    <w:rsid w:val="007C0ED6"/>
    <w:rsid w:val="007C12FD"/>
    <w:rsid w:val="007C1C8D"/>
    <w:rsid w:val="007C26A2"/>
    <w:rsid w:val="007C2C49"/>
    <w:rsid w:val="007C3CB0"/>
    <w:rsid w:val="007C534B"/>
    <w:rsid w:val="007C5CC2"/>
    <w:rsid w:val="007C6283"/>
    <w:rsid w:val="007D3069"/>
    <w:rsid w:val="007E187B"/>
    <w:rsid w:val="007F0349"/>
    <w:rsid w:val="007F0EA5"/>
    <w:rsid w:val="007F16D0"/>
    <w:rsid w:val="007F204E"/>
    <w:rsid w:val="007F3756"/>
    <w:rsid w:val="007F54E1"/>
    <w:rsid w:val="007F59B4"/>
    <w:rsid w:val="007F65A5"/>
    <w:rsid w:val="007F742A"/>
    <w:rsid w:val="007F75D5"/>
    <w:rsid w:val="008016C1"/>
    <w:rsid w:val="00804285"/>
    <w:rsid w:val="0081042D"/>
    <w:rsid w:val="008109EF"/>
    <w:rsid w:val="0081151E"/>
    <w:rsid w:val="00811B83"/>
    <w:rsid w:val="00814328"/>
    <w:rsid w:val="00816EE5"/>
    <w:rsid w:val="008174C8"/>
    <w:rsid w:val="0082065C"/>
    <w:rsid w:val="008239C1"/>
    <w:rsid w:val="00825037"/>
    <w:rsid w:val="0082767D"/>
    <w:rsid w:val="00830076"/>
    <w:rsid w:val="00833DE2"/>
    <w:rsid w:val="00837D10"/>
    <w:rsid w:val="00840FBA"/>
    <w:rsid w:val="008428FA"/>
    <w:rsid w:val="00842CA8"/>
    <w:rsid w:val="008431B5"/>
    <w:rsid w:val="0084703A"/>
    <w:rsid w:val="0084716A"/>
    <w:rsid w:val="008548A4"/>
    <w:rsid w:val="00855045"/>
    <w:rsid w:val="008568ED"/>
    <w:rsid w:val="00862750"/>
    <w:rsid w:val="00865898"/>
    <w:rsid w:val="00867F01"/>
    <w:rsid w:val="008701AF"/>
    <w:rsid w:val="00871A12"/>
    <w:rsid w:val="00871BA4"/>
    <w:rsid w:val="00871F9F"/>
    <w:rsid w:val="00872022"/>
    <w:rsid w:val="00873A3F"/>
    <w:rsid w:val="0087425C"/>
    <w:rsid w:val="00876EFC"/>
    <w:rsid w:val="00881314"/>
    <w:rsid w:val="00883D43"/>
    <w:rsid w:val="00885FEA"/>
    <w:rsid w:val="0088666A"/>
    <w:rsid w:val="00890BDA"/>
    <w:rsid w:val="00890EDB"/>
    <w:rsid w:val="00893505"/>
    <w:rsid w:val="00894E53"/>
    <w:rsid w:val="008957C4"/>
    <w:rsid w:val="008970B8"/>
    <w:rsid w:val="008A18EE"/>
    <w:rsid w:val="008A23EF"/>
    <w:rsid w:val="008A3AF8"/>
    <w:rsid w:val="008A3F0D"/>
    <w:rsid w:val="008A54DC"/>
    <w:rsid w:val="008A552D"/>
    <w:rsid w:val="008A58D6"/>
    <w:rsid w:val="008A72C1"/>
    <w:rsid w:val="008B1F97"/>
    <w:rsid w:val="008B5A60"/>
    <w:rsid w:val="008B64DE"/>
    <w:rsid w:val="008C7C4A"/>
    <w:rsid w:val="008D1033"/>
    <w:rsid w:val="008D1955"/>
    <w:rsid w:val="008D42C5"/>
    <w:rsid w:val="008D552A"/>
    <w:rsid w:val="008E04EB"/>
    <w:rsid w:val="008E1786"/>
    <w:rsid w:val="008E4690"/>
    <w:rsid w:val="008E572B"/>
    <w:rsid w:val="008E5DB6"/>
    <w:rsid w:val="008E769A"/>
    <w:rsid w:val="008E7839"/>
    <w:rsid w:val="008F0032"/>
    <w:rsid w:val="008F1A37"/>
    <w:rsid w:val="008F2C82"/>
    <w:rsid w:val="008F387B"/>
    <w:rsid w:val="008F58AA"/>
    <w:rsid w:val="00901111"/>
    <w:rsid w:val="0090232C"/>
    <w:rsid w:val="009032CF"/>
    <w:rsid w:val="00903593"/>
    <w:rsid w:val="0091038C"/>
    <w:rsid w:val="009113D9"/>
    <w:rsid w:val="009130B5"/>
    <w:rsid w:val="00913293"/>
    <w:rsid w:val="00914564"/>
    <w:rsid w:val="00914882"/>
    <w:rsid w:val="0092028F"/>
    <w:rsid w:val="00922A2F"/>
    <w:rsid w:val="00923583"/>
    <w:rsid w:val="00924BFA"/>
    <w:rsid w:val="009251FF"/>
    <w:rsid w:val="00925B65"/>
    <w:rsid w:val="00926FB0"/>
    <w:rsid w:val="009306C3"/>
    <w:rsid w:val="00932305"/>
    <w:rsid w:val="0093499D"/>
    <w:rsid w:val="00937CF0"/>
    <w:rsid w:val="00941BF8"/>
    <w:rsid w:val="00942982"/>
    <w:rsid w:val="00942992"/>
    <w:rsid w:val="00944C1E"/>
    <w:rsid w:val="00947C45"/>
    <w:rsid w:val="009556B9"/>
    <w:rsid w:val="00955797"/>
    <w:rsid w:val="00957233"/>
    <w:rsid w:val="009575C6"/>
    <w:rsid w:val="009600C6"/>
    <w:rsid w:val="0096031D"/>
    <w:rsid w:val="0096193F"/>
    <w:rsid w:val="00963896"/>
    <w:rsid w:val="00964912"/>
    <w:rsid w:val="00964B35"/>
    <w:rsid w:val="00966E2B"/>
    <w:rsid w:val="009706EF"/>
    <w:rsid w:val="00971084"/>
    <w:rsid w:val="00977845"/>
    <w:rsid w:val="00990423"/>
    <w:rsid w:val="00993E32"/>
    <w:rsid w:val="009A3469"/>
    <w:rsid w:val="009A466F"/>
    <w:rsid w:val="009A4DD9"/>
    <w:rsid w:val="009A7AB1"/>
    <w:rsid w:val="009B0344"/>
    <w:rsid w:val="009B0CCF"/>
    <w:rsid w:val="009B157C"/>
    <w:rsid w:val="009B243C"/>
    <w:rsid w:val="009B70CE"/>
    <w:rsid w:val="009B76EC"/>
    <w:rsid w:val="009C325C"/>
    <w:rsid w:val="009C51A5"/>
    <w:rsid w:val="009D02D0"/>
    <w:rsid w:val="009D11C9"/>
    <w:rsid w:val="009D3D07"/>
    <w:rsid w:val="009D50B1"/>
    <w:rsid w:val="009E52CA"/>
    <w:rsid w:val="009F0E91"/>
    <w:rsid w:val="009F37D2"/>
    <w:rsid w:val="00A02234"/>
    <w:rsid w:val="00A023D3"/>
    <w:rsid w:val="00A05788"/>
    <w:rsid w:val="00A05CA7"/>
    <w:rsid w:val="00A077BC"/>
    <w:rsid w:val="00A129D4"/>
    <w:rsid w:val="00A149C0"/>
    <w:rsid w:val="00A14B8A"/>
    <w:rsid w:val="00A160E8"/>
    <w:rsid w:val="00A16B86"/>
    <w:rsid w:val="00A207CF"/>
    <w:rsid w:val="00A26E92"/>
    <w:rsid w:val="00A26ECD"/>
    <w:rsid w:val="00A304A5"/>
    <w:rsid w:val="00A3223D"/>
    <w:rsid w:val="00A3565C"/>
    <w:rsid w:val="00A35FFB"/>
    <w:rsid w:val="00A36671"/>
    <w:rsid w:val="00A36D4A"/>
    <w:rsid w:val="00A37220"/>
    <w:rsid w:val="00A417A2"/>
    <w:rsid w:val="00A41AA4"/>
    <w:rsid w:val="00A41BE7"/>
    <w:rsid w:val="00A425D0"/>
    <w:rsid w:val="00A426BC"/>
    <w:rsid w:val="00A50FEB"/>
    <w:rsid w:val="00A53BF9"/>
    <w:rsid w:val="00A5410E"/>
    <w:rsid w:val="00A55247"/>
    <w:rsid w:val="00A574F4"/>
    <w:rsid w:val="00A60CC6"/>
    <w:rsid w:val="00A6352E"/>
    <w:rsid w:val="00A638E2"/>
    <w:rsid w:val="00A651DB"/>
    <w:rsid w:val="00A65F0B"/>
    <w:rsid w:val="00A70178"/>
    <w:rsid w:val="00A70373"/>
    <w:rsid w:val="00A70514"/>
    <w:rsid w:val="00A75C23"/>
    <w:rsid w:val="00A766FA"/>
    <w:rsid w:val="00A80CAA"/>
    <w:rsid w:val="00A82E72"/>
    <w:rsid w:val="00A85675"/>
    <w:rsid w:val="00A870FB"/>
    <w:rsid w:val="00A90544"/>
    <w:rsid w:val="00A93AB5"/>
    <w:rsid w:val="00A93FA2"/>
    <w:rsid w:val="00A96781"/>
    <w:rsid w:val="00A9777A"/>
    <w:rsid w:val="00A978C2"/>
    <w:rsid w:val="00AA21F9"/>
    <w:rsid w:val="00AA23C0"/>
    <w:rsid w:val="00AA253E"/>
    <w:rsid w:val="00AA545E"/>
    <w:rsid w:val="00AA7861"/>
    <w:rsid w:val="00AB1782"/>
    <w:rsid w:val="00AB19E2"/>
    <w:rsid w:val="00AB1CEA"/>
    <w:rsid w:val="00AB1F17"/>
    <w:rsid w:val="00AB476F"/>
    <w:rsid w:val="00AC05C5"/>
    <w:rsid w:val="00AC0A6C"/>
    <w:rsid w:val="00AC5166"/>
    <w:rsid w:val="00AC52C6"/>
    <w:rsid w:val="00AD02A4"/>
    <w:rsid w:val="00AD2696"/>
    <w:rsid w:val="00AD4C7C"/>
    <w:rsid w:val="00AD77EF"/>
    <w:rsid w:val="00AE2810"/>
    <w:rsid w:val="00AE309C"/>
    <w:rsid w:val="00AE4B56"/>
    <w:rsid w:val="00AE543B"/>
    <w:rsid w:val="00AF309A"/>
    <w:rsid w:val="00AF57D4"/>
    <w:rsid w:val="00AF5DD2"/>
    <w:rsid w:val="00B0010F"/>
    <w:rsid w:val="00B01159"/>
    <w:rsid w:val="00B01192"/>
    <w:rsid w:val="00B02BD9"/>
    <w:rsid w:val="00B03907"/>
    <w:rsid w:val="00B039E4"/>
    <w:rsid w:val="00B04238"/>
    <w:rsid w:val="00B04BF4"/>
    <w:rsid w:val="00B0713D"/>
    <w:rsid w:val="00B0735C"/>
    <w:rsid w:val="00B117C8"/>
    <w:rsid w:val="00B140AC"/>
    <w:rsid w:val="00B202E1"/>
    <w:rsid w:val="00B230FD"/>
    <w:rsid w:val="00B254D8"/>
    <w:rsid w:val="00B30BC4"/>
    <w:rsid w:val="00B360A9"/>
    <w:rsid w:val="00B40566"/>
    <w:rsid w:val="00B42618"/>
    <w:rsid w:val="00B47B06"/>
    <w:rsid w:val="00B510E5"/>
    <w:rsid w:val="00B52523"/>
    <w:rsid w:val="00B52C90"/>
    <w:rsid w:val="00B549C6"/>
    <w:rsid w:val="00B54E3F"/>
    <w:rsid w:val="00B55FD3"/>
    <w:rsid w:val="00B561D3"/>
    <w:rsid w:val="00B6005B"/>
    <w:rsid w:val="00B60C8B"/>
    <w:rsid w:val="00B614B3"/>
    <w:rsid w:val="00B61592"/>
    <w:rsid w:val="00B64266"/>
    <w:rsid w:val="00B64D0F"/>
    <w:rsid w:val="00B654D2"/>
    <w:rsid w:val="00B67955"/>
    <w:rsid w:val="00B71B67"/>
    <w:rsid w:val="00B73026"/>
    <w:rsid w:val="00B828B9"/>
    <w:rsid w:val="00B872B7"/>
    <w:rsid w:val="00B92986"/>
    <w:rsid w:val="00B93814"/>
    <w:rsid w:val="00B97E4D"/>
    <w:rsid w:val="00BA0E35"/>
    <w:rsid w:val="00BA1DA9"/>
    <w:rsid w:val="00BA1DE9"/>
    <w:rsid w:val="00BA2504"/>
    <w:rsid w:val="00BA4A4E"/>
    <w:rsid w:val="00BA5D4B"/>
    <w:rsid w:val="00BA644D"/>
    <w:rsid w:val="00BA69A0"/>
    <w:rsid w:val="00BB3C66"/>
    <w:rsid w:val="00BB6860"/>
    <w:rsid w:val="00BB701D"/>
    <w:rsid w:val="00BC0A6E"/>
    <w:rsid w:val="00BC2099"/>
    <w:rsid w:val="00BC28F2"/>
    <w:rsid w:val="00BD11FC"/>
    <w:rsid w:val="00BD1E8F"/>
    <w:rsid w:val="00BD2652"/>
    <w:rsid w:val="00BD37F2"/>
    <w:rsid w:val="00BD51C1"/>
    <w:rsid w:val="00BD5744"/>
    <w:rsid w:val="00BE0A10"/>
    <w:rsid w:val="00BE1D51"/>
    <w:rsid w:val="00BE2D65"/>
    <w:rsid w:val="00BE2E0E"/>
    <w:rsid w:val="00BE30D7"/>
    <w:rsid w:val="00BE3707"/>
    <w:rsid w:val="00BE59EF"/>
    <w:rsid w:val="00BE7AB4"/>
    <w:rsid w:val="00C07232"/>
    <w:rsid w:val="00C100AF"/>
    <w:rsid w:val="00C126B7"/>
    <w:rsid w:val="00C12EB1"/>
    <w:rsid w:val="00C13E88"/>
    <w:rsid w:val="00C1433D"/>
    <w:rsid w:val="00C21FF6"/>
    <w:rsid w:val="00C242C1"/>
    <w:rsid w:val="00C249C1"/>
    <w:rsid w:val="00C25333"/>
    <w:rsid w:val="00C25FE5"/>
    <w:rsid w:val="00C31AA5"/>
    <w:rsid w:val="00C3220D"/>
    <w:rsid w:val="00C33698"/>
    <w:rsid w:val="00C4184A"/>
    <w:rsid w:val="00C4458C"/>
    <w:rsid w:val="00C45AF5"/>
    <w:rsid w:val="00C46EA3"/>
    <w:rsid w:val="00C472C6"/>
    <w:rsid w:val="00C4758E"/>
    <w:rsid w:val="00C478E7"/>
    <w:rsid w:val="00C5076F"/>
    <w:rsid w:val="00C559F9"/>
    <w:rsid w:val="00C610E9"/>
    <w:rsid w:val="00C616E1"/>
    <w:rsid w:val="00C629C7"/>
    <w:rsid w:val="00C662BA"/>
    <w:rsid w:val="00C67C61"/>
    <w:rsid w:val="00C67FFC"/>
    <w:rsid w:val="00C70CF9"/>
    <w:rsid w:val="00C72A81"/>
    <w:rsid w:val="00C74328"/>
    <w:rsid w:val="00C766E1"/>
    <w:rsid w:val="00C76EB5"/>
    <w:rsid w:val="00C77084"/>
    <w:rsid w:val="00C807FA"/>
    <w:rsid w:val="00C80A5A"/>
    <w:rsid w:val="00C82663"/>
    <w:rsid w:val="00C82CE6"/>
    <w:rsid w:val="00C861E0"/>
    <w:rsid w:val="00C9030D"/>
    <w:rsid w:val="00C91A1F"/>
    <w:rsid w:val="00C9289C"/>
    <w:rsid w:val="00C939DE"/>
    <w:rsid w:val="00CA0F47"/>
    <w:rsid w:val="00CA230B"/>
    <w:rsid w:val="00CA2ABC"/>
    <w:rsid w:val="00CA3C47"/>
    <w:rsid w:val="00CA776D"/>
    <w:rsid w:val="00CB0E2F"/>
    <w:rsid w:val="00CB2EC6"/>
    <w:rsid w:val="00CB3137"/>
    <w:rsid w:val="00CB36FD"/>
    <w:rsid w:val="00CB4142"/>
    <w:rsid w:val="00CC09DB"/>
    <w:rsid w:val="00CC0AAA"/>
    <w:rsid w:val="00CC3CB7"/>
    <w:rsid w:val="00CC4841"/>
    <w:rsid w:val="00CC4A0F"/>
    <w:rsid w:val="00CC550E"/>
    <w:rsid w:val="00CC6144"/>
    <w:rsid w:val="00CD0A6F"/>
    <w:rsid w:val="00CD20F5"/>
    <w:rsid w:val="00CD6172"/>
    <w:rsid w:val="00CD7AEA"/>
    <w:rsid w:val="00CE2ECF"/>
    <w:rsid w:val="00CE32F9"/>
    <w:rsid w:val="00CE3F11"/>
    <w:rsid w:val="00CE4F01"/>
    <w:rsid w:val="00CE63D1"/>
    <w:rsid w:val="00CF280F"/>
    <w:rsid w:val="00CF32AC"/>
    <w:rsid w:val="00CF5923"/>
    <w:rsid w:val="00CF6D90"/>
    <w:rsid w:val="00D006A6"/>
    <w:rsid w:val="00D00AF6"/>
    <w:rsid w:val="00D030C7"/>
    <w:rsid w:val="00D0409E"/>
    <w:rsid w:val="00D0603E"/>
    <w:rsid w:val="00D06F22"/>
    <w:rsid w:val="00D134C5"/>
    <w:rsid w:val="00D16006"/>
    <w:rsid w:val="00D20A92"/>
    <w:rsid w:val="00D23EF7"/>
    <w:rsid w:val="00D27121"/>
    <w:rsid w:val="00D31414"/>
    <w:rsid w:val="00D33137"/>
    <w:rsid w:val="00D33D8E"/>
    <w:rsid w:val="00D34FD1"/>
    <w:rsid w:val="00D3540E"/>
    <w:rsid w:val="00D360B8"/>
    <w:rsid w:val="00D412C1"/>
    <w:rsid w:val="00D42C23"/>
    <w:rsid w:val="00D44F07"/>
    <w:rsid w:val="00D50703"/>
    <w:rsid w:val="00D51CFB"/>
    <w:rsid w:val="00D60851"/>
    <w:rsid w:val="00D610D0"/>
    <w:rsid w:val="00D6256F"/>
    <w:rsid w:val="00D63BCE"/>
    <w:rsid w:val="00D67074"/>
    <w:rsid w:val="00D67BD3"/>
    <w:rsid w:val="00D70E3E"/>
    <w:rsid w:val="00D72F5A"/>
    <w:rsid w:val="00D731E5"/>
    <w:rsid w:val="00D74B86"/>
    <w:rsid w:val="00D768CF"/>
    <w:rsid w:val="00D80133"/>
    <w:rsid w:val="00D81C92"/>
    <w:rsid w:val="00D82645"/>
    <w:rsid w:val="00D8602E"/>
    <w:rsid w:val="00D87021"/>
    <w:rsid w:val="00D872D8"/>
    <w:rsid w:val="00D900BF"/>
    <w:rsid w:val="00D90B4A"/>
    <w:rsid w:val="00D91445"/>
    <w:rsid w:val="00D91801"/>
    <w:rsid w:val="00D91E32"/>
    <w:rsid w:val="00D9443D"/>
    <w:rsid w:val="00D94FFB"/>
    <w:rsid w:val="00D96F97"/>
    <w:rsid w:val="00D97E3F"/>
    <w:rsid w:val="00DA1242"/>
    <w:rsid w:val="00DA54D6"/>
    <w:rsid w:val="00DA636B"/>
    <w:rsid w:val="00DA720C"/>
    <w:rsid w:val="00DB0D96"/>
    <w:rsid w:val="00DB184A"/>
    <w:rsid w:val="00DB5A20"/>
    <w:rsid w:val="00DC5631"/>
    <w:rsid w:val="00DD19A7"/>
    <w:rsid w:val="00DD2E74"/>
    <w:rsid w:val="00DD30FB"/>
    <w:rsid w:val="00DD4AB8"/>
    <w:rsid w:val="00DE3968"/>
    <w:rsid w:val="00DE39D2"/>
    <w:rsid w:val="00DF261B"/>
    <w:rsid w:val="00DF39ED"/>
    <w:rsid w:val="00DF3F3E"/>
    <w:rsid w:val="00DF48F2"/>
    <w:rsid w:val="00DF5001"/>
    <w:rsid w:val="00DF642C"/>
    <w:rsid w:val="00DF7CBD"/>
    <w:rsid w:val="00E00AC2"/>
    <w:rsid w:val="00E04A92"/>
    <w:rsid w:val="00E05AE3"/>
    <w:rsid w:val="00E05F42"/>
    <w:rsid w:val="00E10763"/>
    <w:rsid w:val="00E110B6"/>
    <w:rsid w:val="00E1461F"/>
    <w:rsid w:val="00E148AC"/>
    <w:rsid w:val="00E16919"/>
    <w:rsid w:val="00E16A3D"/>
    <w:rsid w:val="00E215D5"/>
    <w:rsid w:val="00E21F2C"/>
    <w:rsid w:val="00E22931"/>
    <w:rsid w:val="00E23810"/>
    <w:rsid w:val="00E242C1"/>
    <w:rsid w:val="00E33557"/>
    <w:rsid w:val="00E4046F"/>
    <w:rsid w:val="00E415D5"/>
    <w:rsid w:val="00E445FB"/>
    <w:rsid w:val="00E4559D"/>
    <w:rsid w:val="00E45E80"/>
    <w:rsid w:val="00E513FA"/>
    <w:rsid w:val="00E52964"/>
    <w:rsid w:val="00E534FE"/>
    <w:rsid w:val="00E57F09"/>
    <w:rsid w:val="00E61791"/>
    <w:rsid w:val="00E633C0"/>
    <w:rsid w:val="00E660D6"/>
    <w:rsid w:val="00E712A4"/>
    <w:rsid w:val="00E732E0"/>
    <w:rsid w:val="00E73473"/>
    <w:rsid w:val="00E73BBE"/>
    <w:rsid w:val="00E76476"/>
    <w:rsid w:val="00E76570"/>
    <w:rsid w:val="00E76D23"/>
    <w:rsid w:val="00E76FDA"/>
    <w:rsid w:val="00E80599"/>
    <w:rsid w:val="00E80C78"/>
    <w:rsid w:val="00E82726"/>
    <w:rsid w:val="00E873DA"/>
    <w:rsid w:val="00E924C1"/>
    <w:rsid w:val="00E93460"/>
    <w:rsid w:val="00E94C71"/>
    <w:rsid w:val="00EA0BB8"/>
    <w:rsid w:val="00EA0E27"/>
    <w:rsid w:val="00EA4111"/>
    <w:rsid w:val="00EA597C"/>
    <w:rsid w:val="00EB56FE"/>
    <w:rsid w:val="00EB5C6E"/>
    <w:rsid w:val="00EB6C9A"/>
    <w:rsid w:val="00EB6EB7"/>
    <w:rsid w:val="00EC1253"/>
    <w:rsid w:val="00EC30E8"/>
    <w:rsid w:val="00EC4D94"/>
    <w:rsid w:val="00ED2809"/>
    <w:rsid w:val="00ED2F96"/>
    <w:rsid w:val="00ED41CF"/>
    <w:rsid w:val="00ED4332"/>
    <w:rsid w:val="00EE01FB"/>
    <w:rsid w:val="00EE06C4"/>
    <w:rsid w:val="00EE19E5"/>
    <w:rsid w:val="00EE2194"/>
    <w:rsid w:val="00EE27AC"/>
    <w:rsid w:val="00EE38A5"/>
    <w:rsid w:val="00EE3ADA"/>
    <w:rsid w:val="00EE5176"/>
    <w:rsid w:val="00EE626E"/>
    <w:rsid w:val="00EE72E6"/>
    <w:rsid w:val="00EF12A5"/>
    <w:rsid w:val="00EF64FE"/>
    <w:rsid w:val="00EF677A"/>
    <w:rsid w:val="00EF6998"/>
    <w:rsid w:val="00EF6B34"/>
    <w:rsid w:val="00EF72A2"/>
    <w:rsid w:val="00F01208"/>
    <w:rsid w:val="00F1304E"/>
    <w:rsid w:val="00F160CE"/>
    <w:rsid w:val="00F2013E"/>
    <w:rsid w:val="00F23C92"/>
    <w:rsid w:val="00F30429"/>
    <w:rsid w:val="00F31928"/>
    <w:rsid w:val="00F35744"/>
    <w:rsid w:val="00F4036B"/>
    <w:rsid w:val="00F40CA9"/>
    <w:rsid w:val="00F41FAF"/>
    <w:rsid w:val="00F42B70"/>
    <w:rsid w:val="00F4379B"/>
    <w:rsid w:val="00F44FB0"/>
    <w:rsid w:val="00F45566"/>
    <w:rsid w:val="00F456C4"/>
    <w:rsid w:val="00F462DF"/>
    <w:rsid w:val="00F548ED"/>
    <w:rsid w:val="00F551DE"/>
    <w:rsid w:val="00F55327"/>
    <w:rsid w:val="00F63531"/>
    <w:rsid w:val="00F64559"/>
    <w:rsid w:val="00F669E7"/>
    <w:rsid w:val="00F66AC9"/>
    <w:rsid w:val="00F73024"/>
    <w:rsid w:val="00F74F27"/>
    <w:rsid w:val="00F76CAC"/>
    <w:rsid w:val="00F80BC6"/>
    <w:rsid w:val="00F826AF"/>
    <w:rsid w:val="00F878E3"/>
    <w:rsid w:val="00F901AA"/>
    <w:rsid w:val="00F90C42"/>
    <w:rsid w:val="00F923D1"/>
    <w:rsid w:val="00F9322E"/>
    <w:rsid w:val="00F93733"/>
    <w:rsid w:val="00F9487F"/>
    <w:rsid w:val="00F94F1D"/>
    <w:rsid w:val="00F951E7"/>
    <w:rsid w:val="00F96121"/>
    <w:rsid w:val="00FA4749"/>
    <w:rsid w:val="00FA65C2"/>
    <w:rsid w:val="00FA730B"/>
    <w:rsid w:val="00FB00B2"/>
    <w:rsid w:val="00FB39A9"/>
    <w:rsid w:val="00FB3BE9"/>
    <w:rsid w:val="00FB5B1C"/>
    <w:rsid w:val="00FB7300"/>
    <w:rsid w:val="00FC03DA"/>
    <w:rsid w:val="00FC0C5A"/>
    <w:rsid w:val="00FC3901"/>
    <w:rsid w:val="00FC69C9"/>
    <w:rsid w:val="00FC7175"/>
    <w:rsid w:val="00FC7AD5"/>
    <w:rsid w:val="00FD2563"/>
    <w:rsid w:val="00FD67AA"/>
    <w:rsid w:val="00FD6BA7"/>
    <w:rsid w:val="00FE0C3C"/>
    <w:rsid w:val="00FE251C"/>
    <w:rsid w:val="00FE2A7D"/>
    <w:rsid w:val="00FE3F98"/>
    <w:rsid w:val="00FF1B0A"/>
    <w:rsid w:val="00FF3D38"/>
    <w:rsid w:val="03FE5130"/>
    <w:rsid w:val="2FA365AB"/>
    <w:rsid w:val="484D7826"/>
    <w:rsid w:val="4B037797"/>
    <w:rsid w:val="507C07E7"/>
    <w:rsid w:val="589045F6"/>
    <w:rsid w:val="62BF005E"/>
    <w:rsid w:val="68195B0B"/>
    <w:rsid w:val="75D6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171C3"/>
  <w15:docId w15:val="{36B58B96-EB06-4E1D-B995-649E6364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8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ascii="Times New Roman" w:hAnsi="Times New Roman"/>
      <w:sz w:val="21"/>
    </w:rPr>
  </w:style>
  <w:style w:type="paragraph" w:styleId="a4">
    <w:name w:val="Body Text"/>
    <w:basedOn w:val="a"/>
    <w:link w:val="Char0"/>
    <w:uiPriority w:val="1"/>
    <w:qFormat/>
    <w:pPr>
      <w:spacing w:before="36"/>
      <w:ind w:left="300"/>
      <w:jc w:val="left"/>
    </w:pPr>
    <w:rPr>
      <w:rFonts w:ascii="仿宋" w:eastAsia="仿宋" w:hAnsi="仿宋" w:cstheme="minorBidi"/>
      <w:kern w:val="0"/>
      <w:sz w:val="24"/>
      <w:lang w:eastAsia="en-US"/>
    </w:rPr>
  </w:style>
  <w:style w:type="paragraph" w:styleId="a5">
    <w:name w:val="Date"/>
    <w:basedOn w:val="a"/>
    <w:next w:val="a"/>
    <w:semiHidden/>
    <w:pPr>
      <w:widowControl/>
    </w:pPr>
    <w:rPr>
      <w:rFonts w:ascii="Times New Roman" w:hAnsi="Times New Roman"/>
      <w:kern w:val="0"/>
      <w:sz w:val="20"/>
      <w:szCs w:val="20"/>
    </w:r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cs="宋体"/>
      <w:kern w:val="0"/>
      <w:sz w:val="24"/>
    </w:rPr>
  </w:style>
  <w:style w:type="paragraph" w:styleId="aa">
    <w:name w:val="annotation subject"/>
    <w:basedOn w:val="a3"/>
    <w:next w:val="a3"/>
    <w:link w:val="Char4"/>
    <w:semiHidden/>
    <w:unhideWhenUsed/>
    <w:qFormat/>
    <w:rPr>
      <w:rFonts w:ascii="宋体" w:hAnsi="宋体"/>
      <w:b/>
      <w:bCs/>
      <w:sz w:val="28"/>
    </w:rPr>
  </w:style>
  <w:style w:type="table" w:styleId="ab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Pr>
      <w:b/>
    </w:rPr>
  </w:style>
  <w:style w:type="character" w:styleId="ad">
    <w:name w:val="FollowedHyperlink"/>
    <w:basedOn w:val="a0"/>
    <w:semiHidden/>
    <w:unhideWhenUsed/>
    <w:qFormat/>
    <w:rPr>
      <w:color w:val="666666"/>
      <w:u w:val="none"/>
    </w:rPr>
  </w:style>
  <w:style w:type="character" w:styleId="ae">
    <w:name w:val="Emphasis"/>
    <w:basedOn w:val="a0"/>
    <w:qFormat/>
    <w:rPr>
      <w:shd w:val="clear" w:color="auto" w:fill="FFFFFF"/>
    </w:rPr>
  </w:style>
  <w:style w:type="character" w:styleId="HTML">
    <w:name w:val="HTML Definition"/>
    <w:basedOn w:val="a0"/>
    <w:semiHidden/>
    <w:unhideWhenUsed/>
    <w:rPr>
      <w:i/>
    </w:rPr>
  </w:style>
  <w:style w:type="character" w:styleId="af">
    <w:name w:val="Hyperlink"/>
    <w:qFormat/>
    <w:rPr>
      <w:color w:val="0000FF"/>
      <w:u w:val="single"/>
    </w:rPr>
  </w:style>
  <w:style w:type="character" w:styleId="HTML0">
    <w:name w:val="HTML Code"/>
    <w:basedOn w:val="a0"/>
    <w:semiHidden/>
    <w:unhideWhenUsed/>
    <w:rPr>
      <w:color w:val="FFFFFF"/>
      <w:sz w:val="13"/>
      <w:szCs w:val="13"/>
    </w:rPr>
  </w:style>
  <w:style w:type="character" w:styleId="af0">
    <w:name w:val="annotation reference"/>
    <w:qFormat/>
    <w:rPr>
      <w:sz w:val="21"/>
      <w:szCs w:val="21"/>
    </w:rPr>
  </w:style>
  <w:style w:type="character" w:customStyle="1" w:styleId="Char3">
    <w:name w:val="页眉 Char"/>
    <w:link w:val="a8"/>
    <w:qFormat/>
    <w:rPr>
      <w:rFonts w:ascii="宋体" w:hAnsi="宋体"/>
      <w:kern w:val="2"/>
      <w:sz w:val="18"/>
      <w:szCs w:val="18"/>
    </w:rPr>
  </w:style>
  <w:style w:type="character" w:customStyle="1" w:styleId="Char2">
    <w:name w:val="页脚 Char"/>
    <w:link w:val="a7"/>
    <w:uiPriority w:val="99"/>
    <w:qFormat/>
    <w:rPr>
      <w:rFonts w:ascii="宋体" w:hAnsi="宋体"/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1">
    <w:name w:val="批注框文本 Char"/>
    <w:link w:val="a6"/>
    <w:qFormat/>
    <w:rPr>
      <w:rFonts w:ascii="宋体" w:hAnsi="宋体"/>
      <w:kern w:val="2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Pr>
      <w:rFonts w:ascii="宋体" w:hAnsi="宋体" w:cs="宋体"/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4">
    <w:name w:val="批注主题 Char"/>
    <w:basedOn w:val="Char"/>
    <w:link w:val="aa"/>
    <w:semiHidden/>
    <w:qFormat/>
    <w:rPr>
      <w:rFonts w:ascii="宋体" w:hAnsi="宋体"/>
      <w:b/>
      <w:bCs/>
      <w:kern w:val="2"/>
      <w:sz w:val="28"/>
      <w:szCs w:val="24"/>
    </w:rPr>
  </w:style>
  <w:style w:type="paragraph" w:customStyle="1" w:styleId="1">
    <w:name w:val="修订1"/>
    <w:hidden/>
    <w:uiPriority w:val="99"/>
    <w:semiHidden/>
    <w:qFormat/>
    <w:rPr>
      <w:rFonts w:ascii="宋体" w:hAnsi="宋体"/>
      <w:kern w:val="2"/>
      <w:sz w:val="28"/>
      <w:szCs w:val="24"/>
    </w:rPr>
  </w:style>
  <w:style w:type="character" w:customStyle="1" w:styleId="Char0">
    <w:name w:val="正文文本 Char"/>
    <w:basedOn w:val="a0"/>
    <w:link w:val="a4"/>
    <w:uiPriority w:val="1"/>
    <w:qFormat/>
    <w:rPr>
      <w:rFonts w:ascii="仿宋" w:eastAsia="仿宋" w:hAnsi="仿宋" w:cstheme="minorBidi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notclasssuffix">
    <w:name w:val="not([class*=suffix])"/>
    <w:basedOn w:val="a0"/>
    <w:qFormat/>
    <w:rPr>
      <w:sz w:val="15"/>
      <w:szCs w:val="15"/>
    </w:rPr>
  </w:style>
  <w:style w:type="character" w:customStyle="1" w:styleId="notclasssuffix1">
    <w:name w:val="not([class*=suffix])1"/>
    <w:basedOn w:val="a0"/>
    <w:qFormat/>
  </w:style>
  <w:style w:type="character" w:customStyle="1" w:styleId="sh">
    <w:name w:val="sh"/>
    <w:basedOn w:val="a0"/>
    <w:qFormat/>
    <w:rPr>
      <w:shd w:val="clear" w:color="auto" w:fill="FEA692"/>
    </w:rPr>
  </w:style>
  <w:style w:type="character" w:customStyle="1" w:styleId="sz">
    <w:name w:val="sz"/>
    <w:basedOn w:val="a0"/>
    <w:qFormat/>
    <w:rPr>
      <w:shd w:val="clear" w:color="auto" w:fill="91B8F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A3578E-6674-4859-88EE-D40818C7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219</Words>
  <Characters>1251</Characters>
  <Application>Microsoft Office Word</Application>
  <DocSecurity>0</DocSecurity>
  <Lines>10</Lines>
  <Paragraphs>2</Paragraphs>
  <ScaleCrop>false</ScaleCrop>
  <Company>qi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</dc:creator>
  <cp:lastModifiedBy>Microsoft 帐户</cp:lastModifiedBy>
  <cp:revision>18</cp:revision>
  <cp:lastPrinted>2021-04-21T14:35:00Z</cp:lastPrinted>
  <dcterms:created xsi:type="dcterms:W3CDTF">2020-04-16T08:27:00Z</dcterms:created>
  <dcterms:modified xsi:type="dcterms:W3CDTF">2021-04-23T01:51:00Z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